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A1" w:rsidRDefault="003451A1" w:rsidP="003451A1"/>
    <w:p w:rsidR="003451A1" w:rsidRDefault="003451A1" w:rsidP="003451A1">
      <w:pPr>
        <w:jc w:val="center"/>
      </w:pPr>
      <w:r>
        <w:t>MINISTÉRIO DA EDUCAÇÃO</w:t>
      </w:r>
    </w:p>
    <w:p w:rsidR="003451A1" w:rsidRDefault="003451A1" w:rsidP="003451A1">
      <w:pPr>
        <w:jc w:val="center"/>
      </w:pPr>
      <w:r>
        <w:t>UNIVERSIDADE FEDERAL DO RIO GRANDE DO NORTE</w:t>
      </w:r>
    </w:p>
    <w:p w:rsidR="003451A1" w:rsidRDefault="003451A1" w:rsidP="003451A1">
      <w:pPr>
        <w:jc w:val="center"/>
      </w:pPr>
      <w:r>
        <w:t>PRÓ-REITORIA DE ADMINISTRAÇÃO</w:t>
      </w:r>
    </w:p>
    <w:p w:rsidR="003451A1" w:rsidRDefault="003451A1" w:rsidP="003451A1">
      <w:pPr>
        <w:jc w:val="center"/>
      </w:pPr>
      <w:r>
        <w:t>DIRETORIA DE MATERIAL E PATRIMÔNIO</w:t>
      </w:r>
    </w:p>
    <w:p w:rsidR="003451A1" w:rsidRDefault="003451A1" w:rsidP="003451A1">
      <w:pPr>
        <w:jc w:val="center"/>
      </w:pPr>
      <w:r>
        <w:t>PREGÃO ELETRÔNICO Nº 26/2017 – SISTEMA DE REGISTRO DE PREÇOS</w:t>
      </w:r>
    </w:p>
    <w:p w:rsidR="003451A1" w:rsidRDefault="003451A1" w:rsidP="003451A1">
      <w:pPr>
        <w:jc w:val="center"/>
      </w:pPr>
      <w:r>
        <w:t>PROCESSO ADMINISTRATIVO Nº 23077.012765/2017-51</w:t>
      </w:r>
    </w:p>
    <w:p w:rsidR="003451A1" w:rsidRDefault="003451A1" w:rsidP="003451A1">
      <w:pPr>
        <w:jc w:val="center"/>
      </w:pPr>
      <w:r>
        <w:t>ATA DE REGISTRO DE PREÇOS</w:t>
      </w:r>
    </w:p>
    <w:p w:rsidR="003451A1" w:rsidRDefault="003451A1" w:rsidP="003451A1"/>
    <w:p w:rsidR="003451A1" w:rsidRDefault="003451A1" w:rsidP="003451A1">
      <w:pPr>
        <w:jc w:val="both"/>
      </w:pPr>
      <w:r>
        <w:t xml:space="preserve">Aos quinze dias de maio do ano de 2017, a Universidade Federal do Rio Grande do Norte, inscrita no CNPJ sob o nº 24.365.710/0001-83, através da Comissão Especial de Registro de Preços designada por meio da Portaria nº 33/2017-PROAD, de 09/03/2017, lavra a presente Ata de Registro de Preços – ARP, referente ao presente pregão eletrônico, nº 26/2017, que tem como objeto a Contratação de empresa para serviço de restauração em cadeira universitária em concha monobloco, com prancheta </w:t>
      </w:r>
      <w:proofErr w:type="spellStart"/>
      <w:r>
        <w:t>escamoteável</w:t>
      </w:r>
      <w:proofErr w:type="spellEnd"/>
      <w:r>
        <w:t>, e reforma de mesa de estudos para atender a demanda da UFRN, pelo período de 12 (doze) meses</w:t>
      </w:r>
      <w:proofErr w:type="gramStart"/>
      <w:r>
        <w:t>.,</w:t>
      </w:r>
      <w:proofErr w:type="gramEnd"/>
      <w:r>
        <w:t xml:space="preserve"> conforme especificado de forma detalhada no Termo de Referência e no Relatório de Itens do Objeto Licitados,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3451A1" w:rsidRDefault="003451A1" w:rsidP="003451A1">
      <w:pPr>
        <w:jc w:val="both"/>
      </w:pPr>
      <w:r>
        <w:t>1 – DA VIGÊNCIA</w:t>
      </w:r>
    </w:p>
    <w:p w:rsidR="003451A1" w:rsidRDefault="003451A1" w:rsidP="003451A1">
      <w:pPr>
        <w:jc w:val="both"/>
      </w:pPr>
      <w:r>
        <w:t>1. Disposições relativas à Vigência.</w:t>
      </w:r>
    </w:p>
    <w:p w:rsidR="003451A1" w:rsidRDefault="003451A1" w:rsidP="003451A1">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3451A1" w:rsidRDefault="003451A1" w:rsidP="003451A1">
      <w:pPr>
        <w:jc w:val="both"/>
      </w:pPr>
      <w:r>
        <w:t>1.1.1. Não serão efetuados acréscimos nos quantitativos fixados pela Ata de Registro de Preços, inclusive o acréscimo de que trata o § 1º do art. 65 da Lei nº 8.666/1993.</w:t>
      </w:r>
    </w:p>
    <w:p w:rsidR="003451A1" w:rsidRDefault="003451A1" w:rsidP="003451A1">
      <w:pPr>
        <w:jc w:val="both"/>
      </w:pPr>
      <w:r>
        <w:t>2 – DO REGISTRO DE PREÇOS</w:t>
      </w:r>
    </w:p>
    <w:p w:rsidR="003451A1" w:rsidRDefault="003451A1" w:rsidP="003451A1">
      <w:pPr>
        <w:jc w:val="both"/>
      </w:pPr>
      <w:r>
        <w:t>2. Disposições relativas ao Registro de Preços.</w:t>
      </w:r>
    </w:p>
    <w:p w:rsidR="003451A1" w:rsidRDefault="003451A1" w:rsidP="003451A1">
      <w:pPr>
        <w:jc w:val="both"/>
      </w:pPr>
      <w:r>
        <w:t>2.1. O preço registrado, a quantidade, o fornecedor e as especificações dos itens do objeto ofertados pelas empresas, constantes deste registro de preço, encontram-se contidos nas tabelas abaixo.</w:t>
      </w:r>
    </w:p>
    <w:p w:rsidR="003451A1" w:rsidRDefault="003451A1" w:rsidP="003451A1">
      <w:pPr>
        <w:jc w:val="both"/>
      </w:pPr>
    </w:p>
    <w:tbl>
      <w:tblPr>
        <w:tblW w:w="5000" w:type="pct"/>
        <w:jc w:val="center"/>
        <w:tblCellSpacing w:w="7" w:type="dxa"/>
        <w:shd w:val="clear" w:color="auto" w:fill="D8E5B8"/>
        <w:tblCellMar>
          <w:left w:w="0" w:type="dxa"/>
          <w:right w:w="0" w:type="dxa"/>
        </w:tblCellMar>
        <w:tblLook w:val="04A0"/>
      </w:tblPr>
      <w:tblGrid>
        <w:gridCol w:w="507"/>
        <w:gridCol w:w="2461"/>
        <w:gridCol w:w="1779"/>
        <w:gridCol w:w="1251"/>
        <w:gridCol w:w="1109"/>
        <w:gridCol w:w="1398"/>
        <w:gridCol w:w="27"/>
      </w:tblGrid>
      <w:tr w:rsidR="003451A1" w:rsidRPr="003451A1" w:rsidTr="003451A1">
        <w:trPr>
          <w:tblCellSpacing w:w="7" w:type="dxa"/>
          <w:jc w:val="center"/>
        </w:trPr>
        <w:tc>
          <w:tcPr>
            <w:tcW w:w="0" w:type="auto"/>
            <w:gridSpan w:val="7"/>
            <w:shd w:val="clear" w:color="auto" w:fill="FFFFFF"/>
            <w:hideMark/>
          </w:tcPr>
          <w:p w:rsidR="003451A1" w:rsidRPr="003451A1" w:rsidRDefault="003451A1" w:rsidP="003451A1">
            <w:pPr>
              <w:spacing w:after="0"/>
            </w:pPr>
            <w:r w:rsidRPr="003451A1">
              <w:rPr>
                <w:bCs/>
              </w:rPr>
              <w:t>08.773.990/0001-02</w:t>
            </w:r>
            <w:r w:rsidRPr="003451A1">
              <w:t xml:space="preserve"> - </w:t>
            </w:r>
            <w:proofErr w:type="gramStart"/>
            <w:r w:rsidRPr="003451A1">
              <w:t>O MOVELEIRO COMERCIO</w:t>
            </w:r>
            <w:proofErr w:type="gramEnd"/>
            <w:r w:rsidRPr="003451A1">
              <w:t xml:space="preserve"> E SERVICOS EIRELI - EPP</w:t>
            </w:r>
          </w:p>
        </w:tc>
      </w:tr>
      <w:tr w:rsidR="003451A1" w:rsidRPr="003451A1" w:rsidTr="003451A1">
        <w:trPr>
          <w:tblCellSpacing w:w="7" w:type="dxa"/>
          <w:jc w:val="center"/>
        </w:trPr>
        <w:tc>
          <w:tcPr>
            <w:tcW w:w="0" w:type="auto"/>
            <w:shd w:val="clear" w:color="auto" w:fill="D8E5B8"/>
            <w:vAlign w:val="center"/>
            <w:hideMark/>
          </w:tcPr>
          <w:p w:rsidR="003451A1" w:rsidRPr="003451A1" w:rsidRDefault="003451A1" w:rsidP="003451A1">
            <w:pPr>
              <w:spacing w:after="0"/>
              <w:rPr>
                <w:bCs/>
              </w:rPr>
            </w:pPr>
            <w:r w:rsidRPr="003451A1">
              <w:rPr>
                <w:bCs/>
              </w:rPr>
              <w:t>Item</w:t>
            </w:r>
          </w:p>
        </w:tc>
        <w:tc>
          <w:tcPr>
            <w:tcW w:w="0" w:type="auto"/>
            <w:shd w:val="clear" w:color="auto" w:fill="D8E5B8"/>
            <w:vAlign w:val="center"/>
            <w:hideMark/>
          </w:tcPr>
          <w:p w:rsidR="003451A1" w:rsidRPr="003451A1" w:rsidRDefault="003451A1" w:rsidP="003451A1">
            <w:pPr>
              <w:spacing w:after="0"/>
              <w:rPr>
                <w:bCs/>
              </w:rPr>
            </w:pPr>
            <w:r w:rsidRPr="003451A1">
              <w:rPr>
                <w:bCs/>
              </w:rPr>
              <w:t>Descrição</w:t>
            </w:r>
          </w:p>
        </w:tc>
        <w:tc>
          <w:tcPr>
            <w:tcW w:w="0" w:type="auto"/>
            <w:shd w:val="clear" w:color="auto" w:fill="D8E5B8"/>
            <w:vAlign w:val="center"/>
            <w:hideMark/>
          </w:tcPr>
          <w:p w:rsidR="003451A1" w:rsidRPr="003451A1" w:rsidRDefault="003451A1" w:rsidP="003451A1">
            <w:pPr>
              <w:spacing w:after="0"/>
              <w:rPr>
                <w:bCs/>
              </w:rPr>
            </w:pPr>
            <w:r w:rsidRPr="003451A1">
              <w:rPr>
                <w:bCs/>
              </w:rPr>
              <w:t>Unidade de Fornecimento</w:t>
            </w:r>
          </w:p>
        </w:tc>
        <w:tc>
          <w:tcPr>
            <w:tcW w:w="0" w:type="auto"/>
            <w:shd w:val="clear" w:color="auto" w:fill="D8E5B8"/>
            <w:vAlign w:val="center"/>
            <w:hideMark/>
          </w:tcPr>
          <w:p w:rsidR="003451A1" w:rsidRPr="003451A1" w:rsidRDefault="003451A1" w:rsidP="003451A1">
            <w:pPr>
              <w:spacing w:after="0"/>
              <w:rPr>
                <w:bCs/>
              </w:rPr>
            </w:pPr>
            <w:r w:rsidRPr="003451A1">
              <w:rPr>
                <w:bCs/>
              </w:rPr>
              <w:t>Quantidade</w:t>
            </w:r>
          </w:p>
        </w:tc>
        <w:tc>
          <w:tcPr>
            <w:tcW w:w="0" w:type="auto"/>
            <w:shd w:val="clear" w:color="auto" w:fill="D8E5B8"/>
            <w:vAlign w:val="center"/>
            <w:hideMark/>
          </w:tcPr>
          <w:p w:rsidR="003451A1" w:rsidRPr="003451A1" w:rsidRDefault="003451A1" w:rsidP="003451A1">
            <w:pPr>
              <w:spacing w:after="0"/>
              <w:rPr>
                <w:bCs/>
              </w:rPr>
            </w:pPr>
            <w:r w:rsidRPr="003451A1">
              <w:rPr>
                <w:bCs/>
              </w:rPr>
              <w:t>Valor Unitário</w:t>
            </w:r>
          </w:p>
        </w:tc>
        <w:tc>
          <w:tcPr>
            <w:tcW w:w="0" w:type="auto"/>
            <w:shd w:val="clear" w:color="auto" w:fill="D8E5B8"/>
            <w:vAlign w:val="center"/>
            <w:hideMark/>
          </w:tcPr>
          <w:p w:rsidR="003451A1" w:rsidRPr="003451A1" w:rsidRDefault="003451A1" w:rsidP="003451A1">
            <w:pPr>
              <w:spacing w:after="0"/>
              <w:rPr>
                <w:bCs/>
              </w:rPr>
            </w:pPr>
            <w:r w:rsidRPr="003451A1">
              <w:rPr>
                <w:bCs/>
              </w:rPr>
              <w:t>Valor Global</w:t>
            </w:r>
          </w:p>
        </w:tc>
        <w:tc>
          <w:tcPr>
            <w:tcW w:w="0" w:type="auto"/>
            <w:shd w:val="clear" w:color="auto" w:fill="D8E5B8"/>
            <w:vAlign w:val="center"/>
            <w:hideMark/>
          </w:tcPr>
          <w:p w:rsidR="003451A1" w:rsidRPr="003451A1" w:rsidRDefault="003451A1" w:rsidP="003451A1">
            <w:pPr>
              <w:spacing w:after="0"/>
            </w:pPr>
          </w:p>
        </w:tc>
      </w:tr>
      <w:tr w:rsidR="003451A1" w:rsidRPr="003451A1" w:rsidTr="003451A1">
        <w:trPr>
          <w:tblCellSpacing w:w="7" w:type="dxa"/>
          <w:jc w:val="center"/>
        </w:trPr>
        <w:tc>
          <w:tcPr>
            <w:tcW w:w="0" w:type="auto"/>
            <w:shd w:val="clear" w:color="auto" w:fill="FFFFFF"/>
            <w:hideMark/>
          </w:tcPr>
          <w:p w:rsidR="003451A1" w:rsidRPr="003451A1" w:rsidRDefault="003451A1" w:rsidP="003451A1">
            <w:pPr>
              <w:spacing w:after="0"/>
            </w:pPr>
            <w:proofErr w:type="gramStart"/>
            <w:r w:rsidRPr="003451A1">
              <w:t>1</w:t>
            </w:r>
            <w:proofErr w:type="gramEnd"/>
          </w:p>
        </w:tc>
        <w:tc>
          <w:tcPr>
            <w:tcW w:w="0" w:type="auto"/>
            <w:shd w:val="clear" w:color="auto" w:fill="FFFFFF"/>
            <w:hideMark/>
          </w:tcPr>
          <w:p w:rsidR="003451A1" w:rsidRPr="003451A1" w:rsidRDefault="003451A1" w:rsidP="003451A1">
            <w:pPr>
              <w:spacing w:after="0"/>
            </w:pPr>
            <w:r w:rsidRPr="003451A1">
              <w:t>Manutenção e Reparo de Móveis / Utensílios de Escritório</w:t>
            </w:r>
          </w:p>
        </w:tc>
        <w:tc>
          <w:tcPr>
            <w:tcW w:w="0" w:type="auto"/>
            <w:shd w:val="clear" w:color="auto" w:fill="FFFFFF"/>
            <w:hideMark/>
          </w:tcPr>
          <w:p w:rsidR="003451A1" w:rsidRPr="003451A1" w:rsidRDefault="003451A1" w:rsidP="003451A1">
            <w:pPr>
              <w:spacing w:after="0"/>
            </w:pPr>
            <w:r w:rsidRPr="003451A1">
              <w:t>SERVIÇO</w:t>
            </w:r>
          </w:p>
        </w:tc>
        <w:tc>
          <w:tcPr>
            <w:tcW w:w="0" w:type="auto"/>
            <w:shd w:val="clear" w:color="auto" w:fill="FFFFFF"/>
            <w:hideMark/>
          </w:tcPr>
          <w:p w:rsidR="003451A1" w:rsidRPr="003451A1" w:rsidRDefault="003451A1" w:rsidP="003451A1">
            <w:pPr>
              <w:spacing w:after="0"/>
            </w:pPr>
            <w:r w:rsidRPr="003451A1">
              <w:t>200</w:t>
            </w:r>
          </w:p>
        </w:tc>
        <w:tc>
          <w:tcPr>
            <w:tcW w:w="0" w:type="auto"/>
            <w:shd w:val="clear" w:color="auto" w:fill="FFFFFF"/>
            <w:hideMark/>
          </w:tcPr>
          <w:p w:rsidR="003451A1" w:rsidRPr="003451A1" w:rsidRDefault="003451A1" w:rsidP="003451A1">
            <w:pPr>
              <w:spacing w:after="0"/>
            </w:pPr>
            <w:r w:rsidRPr="003451A1">
              <w:t>R$ 329,9900</w:t>
            </w:r>
          </w:p>
        </w:tc>
        <w:tc>
          <w:tcPr>
            <w:tcW w:w="0" w:type="auto"/>
            <w:shd w:val="clear" w:color="auto" w:fill="FFFFFF"/>
            <w:hideMark/>
          </w:tcPr>
          <w:p w:rsidR="003451A1" w:rsidRPr="003451A1" w:rsidRDefault="003451A1" w:rsidP="003451A1">
            <w:pPr>
              <w:spacing w:after="0"/>
            </w:pPr>
            <w:r w:rsidRPr="003451A1">
              <w:t>R$ 65.998,0000</w:t>
            </w:r>
          </w:p>
        </w:tc>
        <w:tc>
          <w:tcPr>
            <w:tcW w:w="0" w:type="auto"/>
            <w:shd w:val="clear" w:color="auto" w:fill="FFFFFF"/>
            <w:hideMark/>
          </w:tcPr>
          <w:p w:rsidR="003451A1" w:rsidRPr="003451A1" w:rsidRDefault="003451A1" w:rsidP="003451A1">
            <w:pPr>
              <w:spacing w:after="0"/>
            </w:pPr>
          </w:p>
        </w:tc>
      </w:tr>
      <w:tr w:rsidR="003451A1" w:rsidRPr="003451A1" w:rsidTr="003451A1">
        <w:trPr>
          <w:tblCellSpacing w:w="7" w:type="dxa"/>
          <w:jc w:val="center"/>
        </w:trPr>
        <w:tc>
          <w:tcPr>
            <w:tcW w:w="0" w:type="auto"/>
            <w:gridSpan w:val="6"/>
            <w:shd w:val="clear" w:color="auto" w:fill="FFFFFF"/>
            <w:hideMark/>
          </w:tcPr>
          <w:p w:rsidR="003451A1" w:rsidRPr="003451A1" w:rsidRDefault="003451A1" w:rsidP="003451A1">
            <w:pPr>
              <w:spacing w:after="0"/>
            </w:pPr>
            <w:r w:rsidRPr="003451A1">
              <w:rPr>
                <w:bCs/>
              </w:rPr>
              <w:t>Marca: </w:t>
            </w:r>
            <w:r w:rsidRPr="003451A1">
              <w:br/>
            </w:r>
            <w:r w:rsidRPr="003451A1">
              <w:rPr>
                <w:bCs/>
              </w:rPr>
              <w:t>Fabricante: </w:t>
            </w:r>
            <w:r w:rsidRPr="003451A1">
              <w:br/>
            </w:r>
            <w:r w:rsidRPr="003451A1">
              <w:rPr>
                <w:bCs/>
              </w:rPr>
              <w:t>Modelo / Versão: </w:t>
            </w:r>
            <w:r w:rsidRPr="003451A1">
              <w:br/>
            </w:r>
            <w:r w:rsidRPr="003451A1">
              <w:rPr>
                <w:bCs/>
              </w:rPr>
              <w:t>Descrição Detalhada do Objeto Ofertado: </w:t>
            </w:r>
            <w:r w:rsidRPr="003451A1">
              <w:t xml:space="preserve">SERVIÇO DE REFORMA DE MESA DE ESTUDOS Reforma de mesa normal de estudos, de sala de aulas, com fornecimento de peças, medindo 0,80 m de largura, 0,60 m de profundidade e 0,75 m de altura, fabricada em madeira MDP de 25 mm no tampo e MDP de 15 mm no painel frontal. Montada em estrutura de chapa de aço carbono pintada. Cor cinza. COM FORNECIMENTO DE PEÇAS Relação de peças a serem utilizadas: - Chapa de MDF, medindo 2,75 x 1,84 m, de 15 mm de espessura, 02 faces, padrão madeirado, marca: similar à Duratex / </w:t>
            </w:r>
            <w:proofErr w:type="spellStart"/>
            <w:r w:rsidRPr="003451A1">
              <w:t>Masisa</w:t>
            </w:r>
            <w:proofErr w:type="spellEnd"/>
            <w:r w:rsidRPr="003451A1">
              <w:t>; - Corrediça metálica de 0,30 cm</w:t>
            </w:r>
            <w:proofErr w:type="gramStart"/>
            <w:r w:rsidRPr="003451A1">
              <w:t>, marca</w:t>
            </w:r>
            <w:proofErr w:type="gramEnd"/>
            <w:r w:rsidRPr="003451A1">
              <w:t xml:space="preserve">: similar à HT; - Pistão à gás capacidade de 14 a 15 kg, marca: similar à </w:t>
            </w:r>
            <w:proofErr w:type="spellStart"/>
            <w:r w:rsidRPr="003451A1">
              <w:t>Italy</w:t>
            </w:r>
            <w:proofErr w:type="spellEnd"/>
            <w:r w:rsidRPr="003451A1">
              <w:t xml:space="preserve">; - Dobradiça de 03 polegadas, confeccionada em latão, para porta de madeira maciça, marca: similar à HT; - Fita de borda ABS de 1 mm de espessura x 22 mm de largura, cor bege, marca: similar à </w:t>
            </w:r>
            <w:proofErr w:type="spellStart"/>
            <w:r w:rsidRPr="003451A1">
              <w:t>Rehau</w:t>
            </w:r>
            <w:proofErr w:type="spellEnd"/>
            <w:r w:rsidRPr="003451A1">
              <w:t xml:space="preserve">; - Rodízio duplo de nylon, com chapa para móveis, marca: similar à </w:t>
            </w:r>
            <w:proofErr w:type="spellStart"/>
            <w:r w:rsidRPr="003451A1">
              <w:t>Mastcomol</w:t>
            </w:r>
            <w:proofErr w:type="spellEnd"/>
            <w:r w:rsidRPr="003451A1">
              <w:t>. (DMP - 3920000000219)</w:t>
            </w:r>
          </w:p>
        </w:tc>
        <w:tc>
          <w:tcPr>
            <w:tcW w:w="0" w:type="auto"/>
            <w:shd w:val="clear" w:color="auto" w:fill="FFFFFF"/>
            <w:hideMark/>
          </w:tcPr>
          <w:p w:rsidR="003451A1" w:rsidRPr="003451A1" w:rsidRDefault="003451A1" w:rsidP="003451A1">
            <w:pPr>
              <w:spacing w:after="0"/>
            </w:pPr>
          </w:p>
        </w:tc>
      </w:tr>
      <w:tr w:rsidR="003451A1" w:rsidRPr="003451A1" w:rsidTr="003451A1">
        <w:trPr>
          <w:tblCellSpacing w:w="7" w:type="dxa"/>
          <w:jc w:val="center"/>
        </w:trPr>
        <w:tc>
          <w:tcPr>
            <w:tcW w:w="0" w:type="auto"/>
            <w:shd w:val="clear" w:color="auto" w:fill="F0F0F0"/>
            <w:hideMark/>
          </w:tcPr>
          <w:p w:rsidR="003451A1" w:rsidRPr="003451A1" w:rsidRDefault="003451A1" w:rsidP="003451A1">
            <w:pPr>
              <w:spacing w:after="0"/>
            </w:pPr>
            <w:proofErr w:type="gramStart"/>
            <w:r w:rsidRPr="003451A1">
              <w:t>2</w:t>
            </w:r>
            <w:proofErr w:type="gramEnd"/>
          </w:p>
        </w:tc>
        <w:tc>
          <w:tcPr>
            <w:tcW w:w="0" w:type="auto"/>
            <w:shd w:val="clear" w:color="auto" w:fill="F0F0F0"/>
            <w:hideMark/>
          </w:tcPr>
          <w:p w:rsidR="003451A1" w:rsidRPr="003451A1" w:rsidRDefault="003451A1" w:rsidP="003451A1">
            <w:pPr>
              <w:spacing w:after="0"/>
            </w:pPr>
            <w:r w:rsidRPr="003451A1">
              <w:t>Manutenção e Reparo de Móveis / Utensílios de Escritório</w:t>
            </w:r>
          </w:p>
        </w:tc>
        <w:tc>
          <w:tcPr>
            <w:tcW w:w="0" w:type="auto"/>
            <w:shd w:val="clear" w:color="auto" w:fill="F0F0F0"/>
            <w:hideMark/>
          </w:tcPr>
          <w:p w:rsidR="003451A1" w:rsidRPr="003451A1" w:rsidRDefault="003451A1" w:rsidP="003451A1">
            <w:pPr>
              <w:spacing w:after="0"/>
            </w:pPr>
            <w:r w:rsidRPr="003451A1">
              <w:t>SERVIÇO</w:t>
            </w:r>
          </w:p>
        </w:tc>
        <w:tc>
          <w:tcPr>
            <w:tcW w:w="0" w:type="auto"/>
            <w:shd w:val="clear" w:color="auto" w:fill="F0F0F0"/>
            <w:hideMark/>
          </w:tcPr>
          <w:p w:rsidR="003451A1" w:rsidRPr="003451A1" w:rsidRDefault="003451A1" w:rsidP="003451A1">
            <w:pPr>
              <w:spacing w:after="0"/>
            </w:pPr>
            <w:r w:rsidRPr="003451A1">
              <w:t>600</w:t>
            </w:r>
          </w:p>
        </w:tc>
        <w:tc>
          <w:tcPr>
            <w:tcW w:w="0" w:type="auto"/>
            <w:shd w:val="clear" w:color="auto" w:fill="F0F0F0"/>
            <w:hideMark/>
          </w:tcPr>
          <w:p w:rsidR="003451A1" w:rsidRPr="003451A1" w:rsidRDefault="003451A1" w:rsidP="003451A1">
            <w:pPr>
              <w:spacing w:after="0"/>
            </w:pPr>
            <w:r w:rsidRPr="003451A1">
              <w:t>R$ 154,6600</w:t>
            </w:r>
          </w:p>
        </w:tc>
        <w:tc>
          <w:tcPr>
            <w:tcW w:w="0" w:type="auto"/>
            <w:shd w:val="clear" w:color="auto" w:fill="F0F0F0"/>
            <w:hideMark/>
          </w:tcPr>
          <w:p w:rsidR="003451A1" w:rsidRPr="003451A1" w:rsidRDefault="003451A1" w:rsidP="003451A1">
            <w:pPr>
              <w:spacing w:after="0"/>
            </w:pPr>
            <w:r w:rsidRPr="003451A1">
              <w:t>R$ 92.796,0000</w:t>
            </w:r>
          </w:p>
        </w:tc>
        <w:tc>
          <w:tcPr>
            <w:tcW w:w="0" w:type="auto"/>
            <w:shd w:val="clear" w:color="auto" w:fill="F0F0F0"/>
            <w:hideMark/>
          </w:tcPr>
          <w:p w:rsidR="003451A1" w:rsidRPr="003451A1" w:rsidRDefault="003451A1" w:rsidP="003451A1">
            <w:pPr>
              <w:spacing w:after="0"/>
            </w:pPr>
          </w:p>
        </w:tc>
      </w:tr>
      <w:tr w:rsidR="003451A1" w:rsidRPr="003451A1" w:rsidTr="003451A1">
        <w:trPr>
          <w:tblCellSpacing w:w="7" w:type="dxa"/>
          <w:jc w:val="center"/>
        </w:trPr>
        <w:tc>
          <w:tcPr>
            <w:tcW w:w="0" w:type="auto"/>
            <w:gridSpan w:val="6"/>
            <w:shd w:val="clear" w:color="auto" w:fill="F0F0F0"/>
            <w:hideMark/>
          </w:tcPr>
          <w:p w:rsidR="003451A1" w:rsidRPr="003451A1" w:rsidRDefault="003451A1" w:rsidP="003451A1">
            <w:pPr>
              <w:spacing w:after="0"/>
            </w:pPr>
            <w:r w:rsidRPr="003451A1">
              <w:rPr>
                <w:bCs/>
              </w:rPr>
              <w:t>Marca: </w:t>
            </w:r>
            <w:r w:rsidRPr="003451A1">
              <w:br/>
            </w:r>
            <w:r w:rsidRPr="003451A1">
              <w:rPr>
                <w:bCs/>
              </w:rPr>
              <w:t>Fabricante: </w:t>
            </w:r>
            <w:r w:rsidRPr="003451A1">
              <w:br/>
            </w:r>
            <w:r w:rsidRPr="003451A1">
              <w:rPr>
                <w:bCs/>
              </w:rPr>
              <w:t>Modelo / Versão: </w:t>
            </w:r>
            <w:r w:rsidRPr="003451A1">
              <w:br/>
            </w:r>
            <w:r w:rsidRPr="003451A1">
              <w:rPr>
                <w:bCs/>
              </w:rPr>
              <w:t>Descrição Detalhada do Objeto Ofertado: </w:t>
            </w:r>
            <w:r w:rsidRPr="003451A1">
              <w:t>SERVIÇO DE RESTAURAÇÃO EM CADEIRA UNIVERSITÁRIA EM CONCHA MONOBLOCO COM PRANCHETA ESCAMOTEAVEL SERVIÇO DE RESTAURAÇÃO EM CADEIRA UNIVERSITÁRIA EMCONCHA MONOBLOCO, COM SUBSTITUIÇÃO DE PRANCHETA E MECANISMO ESCAMOTEÁVEL. COM FORNECIMENTO DE PEÇAS (DMP - 3920000000220)</w:t>
            </w:r>
          </w:p>
        </w:tc>
        <w:tc>
          <w:tcPr>
            <w:tcW w:w="0" w:type="auto"/>
            <w:shd w:val="clear" w:color="auto" w:fill="F0F0F0"/>
            <w:hideMark/>
          </w:tcPr>
          <w:p w:rsidR="003451A1" w:rsidRPr="003451A1" w:rsidRDefault="003451A1" w:rsidP="003451A1">
            <w:pPr>
              <w:spacing w:after="0"/>
            </w:pPr>
          </w:p>
        </w:tc>
      </w:tr>
    </w:tbl>
    <w:p w:rsidR="003451A1" w:rsidRDefault="003451A1" w:rsidP="003451A1">
      <w:pPr>
        <w:spacing w:after="0"/>
      </w:pPr>
    </w:p>
    <w:p w:rsidR="003451A1" w:rsidRDefault="003451A1" w:rsidP="003451A1"/>
    <w:p w:rsidR="003451A1" w:rsidRDefault="003451A1" w:rsidP="003451A1">
      <w:pPr>
        <w:jc w:val="both"/>
      </w:pPr>
      <w:r>
        <w:t xml:space="preserve">2.2. Os preços e o(s) </w:t>
      </w:r>
      <w:proofErr w:type="gramStart"/>
      <w:r>
        <w:t>particular(</w:t>
      </w:r>
      <w:proofErr w:type="spellStart"/>
      <w:proofErr w:type="gramEnd"/>
      <w:r>
        <w:t>es</w:t>
      </w:r>
      <w:proofErr w:type="spellEnd"/>
      <w:r>
        <w:t>) fornecedor(</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3451A1" w:rsidRDefault="003451A1" w:rsidP="003451A1">
      <w:pPr>
        <w:jc w:val="both"/>
      </w:pPr>
      <w:r>
        <w:t>2.3. O registro dos licitantes que aceitarem cotar os bens ou serviços com preços iguais ao da licitante vencedora deve seguir a sequência da classificação do certame;</w:t>
      </w:r>
    </w:p>
    <w:p w:rsidR="003451A1" w:rsidRDefault="003451A1" w:rsidP="003451A1">
      <w:pPr>
        <w:jc w:val="both"/>
      </w:pPr>
      <w:r>
        <w:lastRenderedPageBreak/>
        <w:t>2.4. O registro a que se refere o inciso acima</w:t>
      </w:r>
      <w:proofErr w:type="gramStart"/>
      <w:r>
        <w:t>, tem</w:t>
      </w:r>
      <w:proofErr w:type="gramEnd"/>
      <w:r>
        <w:t xml:space="preserve">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3451A1" w:rsidRDefault="003451A1" w:rsidP="003451A1">
      <w:pPr>
        <w:jc w:val="both"/>
      </w:pPr>
      <w:r>
        <w:t xml:space="preserve">2.5. Nas contratações deverá ser respeitada a ordem de classificação dos licitantes registrados na ata de registro de preços; </w:t>
      </w:r>
    </w:p>
    <w:p w:rsidR="003451A1" w:rsidRDefault="003451A1" w:rsidP="003451A1">
      <w:pPr>
        <w:jc w:val="both"/>
      </w:pPr>
      <w:r>
        <w:t>2.6. Deverá ser divulgada no portal de compras do Governo Federal e ficará disponibilizado durante a vigência da ata, o preço registrado com indicação dos fornecedores;</w:t>
      </w:r>
    </w:p>
    <w:p w:rsidR="003451A1" w:rsidRDefault="003451A1" w:rsidP="003451A1">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UFRN, endereço: http://www.sipac.ufrn.br.</w:t>
      </w:r>
    </w:p>
    <w:p w:rsidR="003451A1" w:rsidRDefault="003451A1" w:rsidP="003451A1">
      <w:pPr>
        <w:jc w:val="both"/>
      </w:pPr>
      <w:r>
        <w:t>3 – DAS CONDIÇÕES DE FORNECIMENTO</w:t>
      </w:r>
    </w:p>
    <w:p w:rsidR="003451A1" w:rsidRDefault="003451A1" w:rsidP="003451A1">
      <w:pPr>
        <w:jc w:val="both"/>
      </w:pPr>
      <w:r>
        <w:t>3. Disposições relativas às Condições de Fornecimento.</w:t>
      </w:r>
    </w:p>
    <w:p w:rsidR="003451A1" w:rsidRDefault="003451A1" w:rsidP="003451A1">
      <w:pPr>
        <w:jc w:val="both"/>
      </w:pPr>
      <w:r>
        <w:t>3.1.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3451A1" w:rsidRDefault="003451A1" w:rsidP="003451A1">
      <w:pPr>
        <w:jc w:val="both"/>
      </w:pPr>
      <w:r>
        <w:t>3.2. Somente quando o primeiro licitante registrado atingir a totalidade do seu limite de execução dos fornecimentos estabelecidos nesta ata</w:t>
      </w:r>
      <w:proofErr w:type="gramStart"/>
      <w:r>
        <w:t>, será</w:t>
      </w:r>
      <w:proofErr w:type="gramEnd"/>
      <w:r>
        <w:t xml:space="preserve"> indicado o segundo e, assim, sucessivamente, podendo ser indicados mais de um ao mesmo tempo, quando o quantitativo do pedido for superior à capacidade do licitante da vez.</w:t>
      </w:r>
    </w:p>
    <w:p w:rsidR="003451A1" w:rsidRDefault="003451A1" w:rsidP="003451A1">
      <w:pPr>
        <w:jc w:val="both"/>
      </w:pPr>
      <w:r>
        <w:t>3.3. A convocação do proponente pela UFRN, através da Comissão Especial de Registro de Preços, será formalizada e conterá o endereço e o prazo máximo em que o proponente convocado deverá comparecer para retirar o respectivo pedido.</w:t>
      </w:r>
    </w:p>
    <w:p w:rsidR="003451A1" w:rsidRDefault="003451A1" w:rsidP="003451A1">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3451A1" w:rsidRDefault="003451A1" w:rsidP="003451A1">
      <w:pPr>
        <w:jc w:val="both"/>
      </w:pPr>
      <w:r>
        <w:t>3.5. Quando comprovada uma dessas hipóteses, a UFRN poderá indicar o próximo fornecedor a ser destinado o pedido, sem prejuízo da abertura de processo administrativo para aplicação de penalidade.</w:t>
      </w:r>
    </w:p>
    <w:p w:rsidR="003451A1" w:rsidRDefault="003451A1" w:rsidP="003451A1">
      <w:pPr>
        <w:jc w:val="both"/>
      </w:pPr>
      <w:r>
        <w:t>3.6. A marca ofertada, vencedora da cotação, deverá ser a mesma empregada na realização dos fornecimentos previstos no Relatório de Itens do Objeto Licitados, anexo do presente edital, vedada a entrega de outra marca, ainda que similar.</w:t>
      </w:r>
    </w:p>
    <w:p w:rsidR="003451A1" w:rsidRDefault="003451A1" w:rsidP="003451A1">
      <w:pPr>
        <w:jc w:val="both"/>
      </w:pPr>
      <w:r>
        <w:t>3.7. O proponente que não cumprir as obrigações estabelecidas nesta ata estará sujeito às sanções previstas no respectivo edital e seus anexos.</w:t>
      </w:r>
    </w:p>
    <w:p w:rsidR="003451A1" w:rsidRDefault="003451A1" w:rsidP="003451A1">
      <w:pPr>
        <w:jc w:val="both"/>
      </w:pPr>
      <w:r>
        <w:t>4 – CONTROLE E REVISÃO DE PREÇOS</w:t>
      </w:r>
    </w:p>
    <w:p w:rsidR="003451A1" w:rsidRDefault="003451A1" w:rsidP="003451A1">
      <w:pPr>
        <w:jc w:val="both"/>
      </w:pPr>
      <w:r>
        <w:lastRenderedPageBreak/>
        <w:t>4. Disposições relativas ao Controle e Revisão de Preços.</w:t>
      </w:r>
    </w:p>
    <w:p w:rsidR="003451A1" w:rsidRDefault="003451A1" w:rsidP="003451A1">
      <w:pPr>
        <w:jc w:val="both"/>
      </w:pPr>
      <w:r>
        <w:t xml:space="preserve">4.1. 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“d” do inciso II do art. 65 da Lei nº 8.666/1993. </w:t>
      </w:r>
    </w:p>
    <w:p w:rsidR="003451A1" w:rsidRDefault="003451A1" w:rsidP="003451A1">
      <w:pPr>
        <w:jc w:val="both"/>
      </w:pPr>
      <w:r>
        <w:t xml:space="preserve">4.2.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3451A1" w:rsidRDefault="003451A1" w:rsidP="003451A1">
      <w:pPr>
        <w:jc w:val="both"/>
      </w:pPr>
      <w:r>
        <w:t>4.3. Quando os preços registrados tornarem-se superiores aos praticados no mercado, por motivo superveniente, a UFRN convocará os fornecedores para negociar a redução dos preços aos valores praticados no mercado.</w:t>
      </w:r>
    </w:p>
    <w:p w:rsidR="003451A1" w:rsidRDefault="003451A1" w:rsidP="003451A1">
      <w:pPr>
        <w:jc w:val="both"/>
      </w:pPr>
      <w:r>
        <w:t>4.3.1. Os fornecedores que não aceitarem reduzir seus preços aos valores praticados pelo mercado serão liberados do compromisso assumido, sem aplicação de penalidades.</w:t>
      </w:r>
    </w:p>
    <w:p w:rsidR="003451A1" w:rsidRDefault="003451A1" w:rsidP="003451A1">
      <w:pPr>
        <w:jc w:val="both"/>
      </w:pPr>
      <w:r>
        <w:t>4.3.2. A ordem de classificação dos fornecedores que aceitarem reduzir seus preços aos valores de mercado observará a ordem classificação original.</w:t>
      </w:r>
    </w:p>
    <w:p w:rsidR="003451A1" w:rsidRDefault="003451A1" w:rsidP="003451A1">
      <w:pPr>
        <w:jc w:val="both"/>
      </w:pPr>
      <w:r>
        <w:t>4.4. Quando o preço de mercado tornar-se superior aos preços registrados e o fornecedor não puder cumprir o compromisso, a UFRN poderá:</w:t>
      </w:r>
    </w:p>
    <w:p w:rsidR="003451A1" w:rsidRDefault="003451A1" w:rsidP="003451A1">
      <w:pPr>
        <w:jc w:val="both"/>
      </w:pPr>
      <w:r>
        <w:t xml:space="preserve">I. </w:t>
      </w:r>
      <w:proofErr w:type="gramStart"/>
      <w:r>
        <w:t>liberar</w:t>
      </w:r>
      <w:proofErr w:type="gramEnd"/>
      <w:r>
        <w:t xml:space="preserve"> o fornecedor do compromisso assumido, caso a comunicação ocorra antes do pedido de fornecimento, e sem aplicação da penalidade se confirmada a veracidade dos motivos e comprovantes apresentados; e (Dec. nº 7.892/2013, art. 19, I)</w:t>
      </w:r>
    </w:p>
    <w:p w:rsidR="003451A1" w:rsidRDefault="003451A1" w:rsidP="003451A1">
      <w:pPr>
        <w:jc w:val="both"/>
      </w:pPr>
      <w:r>
        <w:t xml:space="preserve">II. </w:t>
      </w:r>
      <w:proofErr w:type="gramStart"/>
      <w:r>
        <w:t>convocar</w:t>
      </w:r>
      <w:proofErr w:type="gramEnd"/>
      <w:r>
        <w:t xml:space="preserve"> os demais fornecedores para assegurar igual oportunidade de negociação. (Dec. nº 7.892/2013, art. 19, II)</w:t>
      </w:r>
    </w:p>
    <w:p w:rsidR="003451A1" w:rsidRDefault="003451A1" w:rsidP="003451A1">
      <w:pPr>
        <w:jc w:val="both"/>
      </w:pPr>
      <w:r>
        <w:t>4.4.1. O referido pedido de fornecimento corresponde à Nota de Empenho – NE emitida em favor do fornecedor.</w:t>
      </w:r>
    </w:p>
    <w:p w:rsidR="003451A1" w:rsidRDefault="003451A1" w:rsidP="003451A1">
      <w:pPr>
        <w:jc w:val="both"/>
      </w:pPr>
      <w:r>
        <w:t>4.4.2. 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rsidR="003451A1" w:rsidRDefault="003451A1" w:rsidP="003451A1">
      <w:pPr>
        <w:jc w:val="both"/>
      </w:pPr>
      <w:r>
        <w:t xml:space="preserve">4.4.2.1. As Notas fiscais devem refletir aquisições compatíveis com os quantitativos fornecidos </w:t>
      </w:r>
      <w:proofErr w:type="spellStart"/>
      <w:r>
        <w:t>parceladamente</w:t>
      </w:r>
      <w:proofErr w:type="spellEnd"/>
      <w:r>
        <w:t xml:space="preserve"> à UFRN.</w:t>
      </w:r>
    </w:p>
    <w:p w:rsidR="003451A1" w:rsidRDefault="003451A1" w:rsidP="003451A1">
      <w:pPr>
        <w:jc w:val="both"/>
      </w:pPr>
      <w:r>
        <w:t>4.5. Não havendo êxito nas negociações, o órgão gerenciador deverá proceder à revogação da presente ata de registro de preços, adotando as medidas cabíveis para obtenção da contratação mais vantajosa. (Dec. nº 7.892/2013, art. 19, Parágrafo único</w:t>
      </w:r>
      <w:proofErr w:type="gramStart"/>
      <w:r>
        <w:t>)</w:t>
      </w:r>
      <w:proofErr w:type="gramEnd"/>
    </w:p>
    <w:p w:rsidR="003451A1" w:rsidRDefault="003451A1" w:rsidP="003451A1">
      <w:pPr>
        <w:jc w:val="both"/>
      </w:pPr>
      <w:r>
        <w:t xml:space="preserve">4.6. A existência de preços registrados não obriga a Administração a firmar as contratações que deles poderão advir, facultando-se a realização da licitação específica para aquisição </w:t>
      </w:r>
      <w:r>
        <w:lastRenderedPageBreak/>
        <w:t xml:space="preserve">pretendida, sendo assegurado ao beneficiário do registro preferência de fornecimento em igualdade de condições. </w:t>
      </w:r>
    </w:p>
    <w:p w:rsidR="003451A1" w:rsidRDefault="003451A1" w:rsidP="003451A1">
      <w:pPr>
        <w:jc w:val="both"/>
      </w:pPr>
      <w:r>
        <w:t>4.7. Na hipótese prevista no item anterior, a contratação dar-se-á pela ordem do registro e na razão dos respectivos limites de fornecimento registrados na presente ata.</w:t>
      </w:r>
    </w:p>
    <w:p w:rsidR="003451A1" w:rsidRDefault="003451A1" w:rsidP="003451A1">
      <w:pPr>
        <w:jc w:val="both"/>
      </w:pPr>
      <w:r>
        <w:t>5 – DA CONTRATAÇÃO</w:t>
      </w:r>
    </w:p>
    <w:p w:rsidR="003451A1" w:rsidRDefault="003451A1" w:rsidP="003451A1">
      <w:pPr>
        <w:jc w:val="both"/>
      </w:pPr>
      <w:r>
        <w:t>5. Disposições relativas à Contratação.</w:t>
      </w:r>
    </w:p>
    <w:p w:rsidR="003451A1" w:rsidRDefault="003451A1" w:rsidP="003451A1">
      <w:pPr>
        <w:jc w:val="both"/>
      </w:pPr>
      <w:r>
        <w:t xml:space="preserve">5.1.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3451A1" w:rsidRDefault="003451A1" w:rsidP="003451A1">
      <w:pPr>
        <w:jc w:val="both"/>
      </w:pPr>
      <w:r>
        <w:t>6 – DA FORMALIZAÇÃO DA CONTRATAÇÃO</w:t>
      </w:r>
    </w:p>
    <w:p w:rsidR="003451A1" w:rsidRDefault="003451A1" w:rsidP="003451A1">
      <w:pPr>
        <w:jc w:val="both"/>
      </w:pPr>
      <w:r>
        <w:t>6. Disposições relativas à Formalização da Contratação.</w:t>
      </w:r>
    </w:p>
    <w:p w:rsidR="003451A1" w:rsidRDefault="003451A1" w:rsidP="003451A1">
      <w:pPr>
        <w:jc w:val="both"/>
      </w:pPr>
      <w:r>
        <w:t>6.1. A contratação junto a cada fornecedor registrado será formalizada por intermédio de emissão de Nota de Empenho de despesa.</w:t>
      </w:r>
    </w:p>
    <w:p w:rsidR="003451A1" w:rsidRDefault="003451A1" w:rsidP="003451A1">
      <w:pPr>
        <w:jc w:val="both"/>
      </w:pPr>
      <w:r>
        <w:t>7 – DO CANCELAMENTO DO REGISTRO DE PREÇOS</w:t>
      </w:r>
    </w:p>
    <w:p w:rsidR="003451A1" w:rsidRDefault="003451A1" w:rsidP="003451A1">
      <w:pPr>
        <w:jc w:val="both"/>
      </w:pPr>
      <w:r>
        <w:t>7. Disposições relativas ao Cancelamento do Registro de Preços.</w:t>
      </w:r>
    </w:p>
    <w:p w:rsidR="003451A1" w:rsidRDefault="003451A1" w:rsidP="003451A1">
      <w:pPr>
        <w:jc w:val="both"/>
      </w:pPr>
      <w:r>
        <w:t xml:space="preserve">7.1.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3451A1" w:rsidRDefault="003451A1" w:rsidP="003451A1">
      <w:pPr>
        <w:jc w:val="both"/>
      </w:pPr>
      <w:r>
        <w:t>7.1.1. O proponente terá o seu registro de preço cancelado na presente ata, por intermédio de processo administrativo específico, assegurado o direito ao contraditório e à ampla defesa.</w:t>
      </w:r>
    </w:p>
    <w:p w:rsidR="003451A1" w:rsidRDefault="003451A1" w:rsidP="003451A1">
      <w:pPr>
        <w:jc w:val="both"/>
      </w:pPr>
      <w:r>
        <w:t>7.1.2. O cancelamento a pedido do proponente dar-se-á quando:</w:t>
      </w:r>
    </w:p>
    <w:p w:rsidR="003451A1" w:rsidRDefault="003451A1" w:rsidP="003451A1">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3451A1" w:rsidRDefault="003451A1" w:rsidP="003451A1">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3451A1" w:rsidRDefault="003451A1" w:rsidP="003451A1">
      <w:pPr>
        <w:jc w:val="both"/>
      </w:pPr>
      <w:r>
        <w:t>7.1.3. O cancelamento unilateral por iniciativa da UFRN dar-se-á quando:</w:t>
      </w:r>
    </w:p>
    <w:p w:rsidR="003451A1" w:rsidRDefault="003451A1" w:rsidP="003451A1">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3451A1" w:rsidRDefault="003451A1" w:rsidP="003451A1">
      <w:pPr>
        <w:jc w:val="both"/>
      </w:pPr>
      <w:r>
        <w:lastRenderedPageBreak/>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3451A1" w:rsidRDefault="003451A1" w:rsidP="003451A1">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3451A1" w:rsidRDefault="003451A1" w:rsidP="003451A1">
      <w:pPr>
        <w:jc w:val="both"/>
      </w:pPr>
      <w:r>
        <w:t xml:space="preserve">IV. </w:t>
      </w:r>
      <w:proofErr w:type="gramStart"/>
      <w:r>
        <w:t>por</w:t>
      </w:r>
      <w:proofErr w:type="gramEnd"/>
      <w:r>
        <w:t xml:space="preserve"> razões de interesse público, devidamente motivadas e justificadas;</w:t>
      </w:r>
    </w:p>
    <w:p w:rsidR="003451A1" w:rsidRDefault="003451A1" w:rsidP="003451A1">
      <w:pPr>
        <w:jc w:val="both"/>
      </w:pPr>
      <w:r>
        <w:t>V. o proponente registrado não cumprir as obrigações decorrentes da presente ata, caso em que o cancelamento será formalizado por despacho da Administração, assegurado o direito ao contraditório e à ampla defesa;</w:t>
      </w:r>
    </w:p>
    <w:p w:rsidR="003451A1" w:rsidRDefault="003451A1" w:rsidP="003451A1">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3451A1" w:rsidRDefault="003451A1" w:rsidP="003451A1">
      <w:pPr>
        <w:jc w:val="both"/>
      </w:pPr>
      <w:r>
        <w:t xml:space="preserve">VII. </w:t>
      </w:r>
      <w:proofErr w:type="gramStart"/>
      <w:r>
        <w:t>o</w:t>
      </w:r>
      <w:proofErr w:type="gramEnd"/>
      <w:r>
        <w:t xml:space="preserve"> proponente não comparecer ou se recusar a retirar, no prazo estabelecido, os pedidos decorrentes da presente ata;</w:t>
      </w:r>
    </w:p>
    <w:p w:rsidR="003451A1" w:rsidRDefault="003451A1" w:rsidP="003451A1">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3451A1" w:rsidRDefault="003451A1" w:rsidP="003451A1">
      <w:pPr>
        <w:jc w:val="both"/>
      </w:pPr>
      <w:r>
        <w:t xml:space="preserve">IX. </w:t>
      </w:r>
      <w:proofErr w:type="gramStart"/>
      <w:r>
        <w:t>o</w:t>
      </w:r>
      <w:proofErr w:type="gramEnd"/>
      <w:r>
        <w:t xml:space="preserve"> proponente deixar de executar total ou parcialmente o contrato relativo ao presente Registro de Preços;</w:t>
      </w:r>
    </w:p>
    <w:p w:rsidR="003451A1" w:rsidRDefault="003451A1" w:rsidP="003451A1">
      <w:pPr>
        <w:jc w:val="both"/>
      </w:pPr>
      <w:r>
        <w:t xml:space="preserve">X. </w:t>
      </w:r>
      <w:proofErr w:type="gramStart"/>
      <w:r>
        <w:t>o</w:t>
      </w:r>
      <w:proofErr w:type="gramEnd"/>
      <w:r>
        <w:t xml:space="preserve"> proponente der causa à rescisão administrativa da contratação decorrente deste Registro de Preços.</w:t>
      </w:r>
    </w:p>
    <w:p w:rsidR="003451A1" w:rsidRDefault="003451A1" w:rsidP="003451A1">
      <w:pPr>
        <w:jc w:val="both"/>
      </w:pPr>
      <w:r>
        <w:t>7.1.4. A comunicação do cancelamento de preços registrados, nos casos previstos no inciso I deste artigo, será efetuada pessoalmente ou por correspondência com Aviso de Recebimento – AR, juntando-se o comprovante aos autos que deram origem a presente ata.</w:t>
      </w:r>
    </w:p>
    <w:p w:rsidR="003451A1" w:rsidRDefault="003451A1" w:rsidP="003451A1">
      <w:pPr>
        <w:jc w:val="both"/>
      </w:pPr>
      <w:r>
        <w:t xml:space="preserve">7.1.5.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3451A1" w:rsidRDefault="003451A1" w:rsidP="003451A1">
      <w:pPr>
        <w:jc w:val="both"/>
      </w:pPr>
      <w:r>
        <w:t xml:space="preserve">7.1.6. </w:t>
      </w:r>
      <w:proofErr w:type="gramStart"/>
      <w:r>
        <w:t>A presente</w:t>
      </w:r>
      <w:proofErr w:type="gramEnd"/>
      <w:r>
        <w:t xml:space="preserve"> ata será cancelada automaticamente:</w:t>
      </w:r>
    </w:p>
    <w:p w:rsidR="003451A1" w:rsidRDefault="003451A1" w:rsidP="003451A1">
      <w:pPr>
        <w:jc w:val="both"/>
      </w:pPr>
      <w:r>
        <w:t xml:space="preserve">I. </w:t>
      </w:r>
      <w:proofErr w:type="gramStart"/>
      <w:r>
        <w:t>por</w:t>
      </w:r>
      <w:proofErr w:type="gramEnd"/>
      <w:r>
        <w:t xml:space="preserve"> decurso do prazo de vigência;</w:t>
      </w:r>
    </w:p>
    <w:p w:rsidR="003451A1" w:rsidRDefault="003451A1" w:rsidP="003451A1">
      <w:pPr>
        <w:jc w:val="both"/>
      </w:pPr>
      <w:r>
        <w:t xml:space="preserve">II. </w:t>
      </w:r>
      <w:proofErr w:type="gramStart"/>
      <w:r>
        <w:t>quando</w:t>
      </w:r>
      <w:proofErr w:type="gramEnd"/>
      <w:r>
        <w:t xml:space="preserve"> não restarem fornecedores registrados.</w:t>
      </w:r>
    </w:p>
    <w:p w:rsidR="003451A1" w:rsidRDefault="003451A1" w:rsidP="003451A1">
      <w:pPr>
        <w:jc w:val="both"/>
      </w:pPr>
      <w:r>
        <w:t>7.1.7. A revogação da presente ata será publicada em forma de extrato no DOU – Seção III.</w:t>
      </w:r>
    </w:p>
    <w:p w:rsidR="003451A1" w:rsidRDefault="003451A1" w:rsidP="003451A1">
      <w:pPr>
        <w:jc w:val="both"/>
      </w:pPr>
      <w:r>
        <w:t>8 – DO REMANEJAMENTO</w:t>
      </w:r>
    </w:p>
    <w:p w:rsidR="003451A1" w:rsidRDefault="003451A1" w:rsidP="003451A1">
      <w:pPr>
        <w:jc w:val="both"/>
      </w:pPr>
      <w:r>
        <w:t>8. Disposições relativas ao Remanejamento.</w:t>
      </w:r>
    </w:p>
    <w:p w:rsidR="003451A1" w:rsidRDefault="003451A1" w:rsidP="003451A1">
      <w:pPr>
        <w:jc w:val="both"/>
      </w:pPr>
    </w:p>
    <w:p w:rsidR="003451A1" w:rsidRDefault="003451A1" w:rsidP="003451A1">
      <w:pPr>
        <w:jc w:val="both"/>
      </w:pPr>
      <w:r>
        <w:t xml:space="preserve">8.1. Na presente </w:t>
      </w:r>
      <w:proofErr w:type="gramStart"/>
      <w:r>
        <w:t>ata,</w:t>
      </w:r>
      <w:proofErr w:type="gramEnd"/>
      <w:r>
        <w:t xml:space="preserve"> as quantidades previstas para os itens com preços registrados poderão ser remanejadas pelo órgão gerenciador (UFRN) entre os órgãos participantes e não participantes do procedimento licitatório para registro de preços (IN da SLTI/MPOG nº 6/2014, art. 2º).</w:t>
      </w:r>
    </w:p>
    <w:p w:rsidR="003451A1" w:rsidRDefault="003451A1" w:rsidP="003451A1">
      <w:pPr>
        <w:jc w:val="both"/>
      </w:pPr>
    </w:p>
    <w:p w:rsidR="003451A1" w:rsidRDefault="003451A1" w:rsidP="003451A1">
      <w:pPr>
        <w:jc w:val="both"/>
      </w:pPr>
      <w:r>
        <w:t xml:space="preserve">8.1.1. O remanejamento somente poderá ser feito de órgão participante para órgão participante e de órgão participante para órgão </w:t>
      </w:r>
      <w:proofErr w:type="spellStart"/>
      <w:proofErr w:type="gramStart"/>
      <w:r>
        <w:t>não-participante</w:t>
      </w:r>
      <w:proofErr w:type="spellEnd"/>
      <w:proofErr w:type="gramEnd"/>
      <w:r>
        <w:t>.</w:t>
      </w:r>
    </w:p>
    <w:p w:rsidR="003451A1" w:rsidRDefault="003451A1" w:rsidP="003451A1">
      <w:pPr>
        <w:jc w:val="both"/>
      </w:pPr>
    </w:p>
    <w:p w:rsidR="003451A1" w:rsidRDefault="003451A1" w:rsidP="003451A1">
      <w:pPr>
        <w:jc w:val="both"/>
      </w:pPr>
      <w:r>
        <w:t>8.1.2. No caso de remanejamento de órgão participante para órgão não participante, devem ser observados os limites previstos nos §§ 3º e 4º do art. 22 do Dec. nº 7.892/2013.</w:t>
      </w:r>
    </w:p>
    <w:p w:rsidR="003451A1" w:rsidRDefault="003451A1" w:rsidP="003451A1">
      <w:pPr>
        <w:jc w:val="both"/>
      </w:pPr>
    </w:p>
    <w:p w:rsidR="003451A1" w:rsidRDefault="003451A1" w:rsidP="003451A1">
      <w:pPr>
        <w:jc w:val="both"/>
      </w:pPr>
      <w:r>
        <w:t>8.1.3. Caberá ao órgão gerenciador autorizar o remanejamento solicitado, com a redução do quantitativo inicialmente informado pelo órgão participante, desde que haja prévia anuência do órgão que vier a sofrer redução dos quantitativos informados.</w:t>
      </w:r>
    </w:p>
    <w:p w:rsidR="003451A1" w:rsidRDefault="003451A1" w:rsidP="003451A1">
      <w:pPr>
        <w:jc w:val="both"/>
      </w:pPr>
    </w:p>
    <w:p w:rsidR="003451A1" w:rsidRDefault="003451A1" w:rsidP="003451A1">
      <w:pPr>
        <w:jc w:val="both"/>
      </w:pPr>
      <w:r>
        <w:t>8.1.4.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3451A1" w:rsidRDefault="003451A1" w:rsidP="003451A1">
      <w:pPr>
        <w:jc w:val="both"/>
      </w:pPr>
    </w:p>
    <w:p w:rsidR="003451A1" w:rsidRDefault="003451A1" w:rsidP="003451A1">
      <w:pPr>
        <w:jc w:val="both"/>
      </w:pPr>
      <w:r>
        <w:t>8.1.5. A Administração poderá utilizar recursos de Tecnologia da Informação na operacionalização do disposto na supracitada Instrução Normativa e automatizar procedimentos de controle e gerenciamento dos atos dos órgãos e entidades envolvidas.</w:t>
      </w:r>
    </w:p>
    <w:p w:rsidR="003451A1" w:rsidRDefault="003451A1" w:rsidP="003451A1">
      <w:pPr>
        <w:jc w:val="both"/>
      </w:pPr>
    </w:p>
    <w:p w:rsidR="003451A1" w:rsidRDefault="003451A1" w:rsidP="003451A1">
      <w:pPr>
        <w:jc w:val="both"/>
      </w:pPr>
      <w:r>
        <w:t>9 – DAS PARTES INTEGRANTES</w:t>
      </w:r>
    </w:p>
    <w:p w:rsidR="003451A1" w:rsidRDefault="003451A1" w:rsidP="003451A1">
      <w:pPr>
        <w:jc w:val="both"/>
      </w:pPr>
    </w:p>
    <w:p w:rsidR="003451A1" w:rsidRDefault="003451A1" w:rsidP="003451A1">
      <w:pPr>
        <w:jc w:val="both"/>
      </w:pPr>
      <w:r>
        <w:t>9. Disposições relativas às Partes Integrantes.</w:t>
      </w:r>
    </w:p>
    <w:p w:rsidR="003451A1" w:rsidRDefault="003451A1" w:rsidP="003451A1">
      <w:pPr>
        <w:jc w:val="both"/>
      </w:pPr>
    </w:p>
    <w:p w:rsidR="003451A1" w:rsidRDefault="003451A1" w:rsidP="003451A1">
      <w:pPr>
        <w:jc w:val="both"/>
      </w:pPr>
      <w:r>
        <w:t>9.1. O Termo de Referência do presente pregão, nº 26/2017, constitui parte integrante da presente ata, sendo, portanto, de cumprimento obrigatório.</w:t>
      </w:r>
    </w:p>
    <w:p w:rsidR="003451A1" w:rsidRDefault="003451A1" w:rsidP="003451A1">
      <w:pPr>
        <w:jc w:val="both"/>
      </w:pPr>
    </w:p>
    <w:p w:rsidR="003451A1" w:rsidRDefault="003451A1" w:rsidP="003451A1">
      <w:pPr>
        <w:jc w:val="both"/>
      </w:pPr>
      <w:r>
        <w:t>10 – DO FORO</w:t>
      </w:r>
    </w:p>
    <w:p w:rsidR="003451A1" w:rsidRDefault="003451A1" w:rsidP="003451A1">
      <w:pPr>
        <w:jc w:val="both"/>
      </w:pPr>
    </w:p>
    <w:p w:rsidR="003451A1" w:rsidRDefault="003451A1" w:rsidP="003451A1">
      <w:pPr>
        <w:jc w:val="both"/>
      </w:pPr>
      <w:r>
        <w:t>10.1 – Fica eleito o foro da Justiça Federal de Primeira Instância – Seção Judiciária do Estado do Rio Grande do Norte</w:t>
      </w:r>
      <w:proofErr w:type="gramStart"/>
      <w:r>
        <w:t>, para</w:t>
      </w:r>
      <w:proofErr w:type="gramEnd"/>
      <w:r>
        <w:t xml:space="preserve"> nele dirimirem-se dúvidas e solucionarem-se questões que não encontrem forma de resolução por acordo entre as partes, sendo esse foro irrenunciável pela CONTRATANTE, diante do que dispõe o art. 109, inciso I, da Constituição Federal.</w:t>
      </w:r>
    </w:p>
    <w:p w:rsidR="003451A1" w:rsidRDefault="003451A1" w:rsidP="003451A1">
      <w:pPr>
        <w:jc w:val="both"/>
      </w:pPr>
    </w:p>
    <w:p w:rsidR="003451A1" w:rsidRDefault="003451A1" w:rsidP="003451A1">
      <w:r>
        <w:t>Comissão Especial</w:t>
      </w:r>
    </w:p>
    <w:p w:rsidR="003451A1" w:rsidRDefault="003451A1" w:rsidP="003451A1">
      <w:proofErr w:type="gramStart"/>
      <w:r>
        <w:t>...............................................................................................</w:t>
      </w:r>
      <w:proofErr w:type="gramEnd"/>
    </w:p>
    <w:p w:rsidR="003451A1" w:rsidRDefault="003451A1" w:rsidP="003451A1">
      <w:proofErr w:type="gramStart"/>
      <w:r>
        <w:t>...............................................................................................</w:t>
      </w:r>
      <w:proofErr w:type="gramEnd"/>
    </w:p>
    <w:p w:rsidR="003451A1" w:rsidRDefault="003451A1" w:rsidP="003451A1">
      <w:proofErr w:type="gramStart"/>
      <w:r>
        <w:t>...............................................................................................</w:t>
      </w:r>
      <w:proofErr w:type="gramEnd"/>
    </w:p>
    <w:p w:rsidR="003451A1" w:rsidRDefault="003451A1" w:rsidP="003451A1"/>
    <w:p w:rsidR="00ED7DD7" w:rsidRDefault="003451A1" w:rsidP="003451A1">
      <w:pPr>
        <w:spacing w:after="0" w:line="360" w:lineRule="auto"/>
      </w:pPr>
      <w:r>
        <w:t xml:space="preserve">Empresa: </w:t>
      </w:r>
      <w:proofErr w:type="gramStart"/>
      <w:r w:rsidRPr="003451A1">
        <w:t>O MOVELEIRO COMERCIO</w:t>
      </w:r>
      <w:proofErr w:type="gramEnd"/>
      <w:r w:rsidRPr="003451A1">
        <w:t xml:space="preserve"> E SERVICOS EIRELI </w:t>
      </w:r>
      <w:r>
        <w:t>–</w:t>
      </w:r>
      <w:r w:rsidRPr="003451A1">
        <w:t xml:space="preserve"> EPP</w:t>
      </w:r>
    </w:p>
    <w:p w:rsidR="003451A1" w:rsidRPr="003451A1" w:rsidRDefault="003451A1" w:rsidP="003451A1">
      <w:pPr>
        <w:spacing w:after="0" w:line="360" w:lineRule="auto"/>
        <w:rPr>
          <w:rFonts w:ascii="Calibri" w:eastAsia="Calibri" w:hAnsi="Calibri" w:cs="Times New Roman"/>
          <w:bCs/>
        </w:rPr>
      </w:pPr>
      <w:r w:rsidRPr="003451A1">
        <w:rPr>
          <w:rFonts w:ascii="Calibri" w:eastAsia="Calibri" w:hAnsi="Calibri" w:cs="Times New Roman"/>
          <w:bCs/>
        </w:rPr>
        <w:t>REPRESENTANTE: ______________________________________________________________</w:t>
      </w:r>
    </w:p>
    <w:p w:rsidR="003451A1" w:rsidRPr="003451A1" w:rsidRDefault="003451A1" w:rsidP="003451A1">
      <w:pPr>
        <w:spacing w:after="0" w:line="360" w:lineRule="auto"/>
        <w:rPr>
          <w:rFonts w:ascii="Calibri" w:eastAsia="Calibri" w:hAnsi="Calibri" w:cs="Times New Roman"/>
          <w:bCs/>
        </w:rPr>
      </w:pPr>
      <w:r w:rsidRPr="003451A1">
        <w:rPr>
          <w:rFonts w:ascii="Calibri" w:eastAsia="Calibri" w:hAnsi="Calibri" w:cs="Times New Roman"/>
          <w:bCs/>
        </w:rPr>
        <w:t>E-MAIL: _____________________________________FONE/FAX: ________________________</w:t>
      </w:r>
    </w:p>
    <w:p w:rsidR="003451A1" w:rsidRPr="003451A1" w:rsidRDefault="003451A1" w:rsidP="003451A1">
      <w:pPr>
        <w:spacing w:after="0" w:line="360" w:lineRule="auto"/>
        <w:rPr>
          <w:rFonts w:ascii="Calibri" w:eastAsia="Calibri" w:hAnsi="Calibri" w:cs="Times New Roman"/>
        </w:rPr>
      </w:pPr>
      <w:r w:rsidRPr="003451A1">
        <w:rPr>
          <w:rFonts w:ascii="Calibri" w:eastAsia="Calibri" w:hAnsi="Calibri" w:cs="Times New Roman"/>
          <w:bCs/>
        </w:rPr>
        <w:t>ASSINATURA: __________________________________________________________________</w:t>
      </w:r>
    </w:p>
    <w:p w:rsidR="003451A1" w:rsidRDefault="003451A1" w:rsidP="003451A1">
      <w:pPr>
        <w:spacing w:after="0"/>
      </w:pPr>
    </w:p>
    <w:sectPr w:rsidR="003451A1"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1A1"/>
    <w:rsid w:val="003451A1"/>
    <w:rsid w:val="0040627C"/>
    <w:rsid w:val="004C5F07"/>
    <w:rsid w:val="00533F31"/>
    <w:rsid w:val="00543F80"/>
    <w:rsid w:val="005E625B"/>
    <w:rsid w:val="008D74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4405">
      <w:bodyDiv w:val="1"/>
      <w:marLeft w:val="0"/>
      <w:marRight w:val="0"/>
      <w:marTop w:val="0"/>
      <w:marBottom w:val="0"/>
      <w:divBdr>
        <w:top w:val="none" w:sz="0" w:space="0" w:color="auto"/>
        <w:left w:val="none" w:sz="0" w:space="0" w:color="auto"/>
        <w:bottom w:val="none" w:sz="0" w:space="0" w:color="auto"/>
        <w:right w:val="none" w:sz="0" w:space="0" w:color="auto"/>
      </w:divBdr>
    </w:div>
    <w:div w:id="12730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2588</Words>
  <Characters>13979</Characters>
  <Application>Microsoft Office Word</Application>
  <DocSecurity>0</DocSecurity>
  <Lines>116</Lines>
  <Paragraphs>33</Paragraphs>
  <ScaleCrop>false</ScaleCrop>
  <Company>Hewlett-Packard Company</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2</cp:revision>
  <dcterms:created xsi:type="dcterms:W3CDTF">2017-05-16T13:03:00Z</dcterms:created>
  <dcterms:modified xsi:type="dcterms:W3CDTF">2017-05-16T13:09:00Z</dcterms:modified>
</cp:coreProperties>
</file>