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tblPr>
      <w:tblGrid>
        <w:gridCol w:w="8720"/>
      </w:tblGrid>
      <w:tr w:rsidR="006C161D" w:rsidRPr="006C161D" w:rsidTr="006A48C5">
        <w:tc>
          <w:tcPr>
            <w:tcW w:w="5000" w:type="pct"/>
            <w:tcBorders>
              <w:top w:val="nil"/>
              <w:left w:val="nil"/>
              <w:bottom w:val="nil"/>
              <w:right w:val="nil"/>
            </w:tcBorders>
            <w:shd w:val="clear" w:color="auto" w:fill="auto"/>
          </w:tcPr>
          <w:p w:rsidR="006C161D" w:rsidRPr="006C161D" w:rsidRDefault="006C161D" w:rsidP="006C161D">
            <w:pPr>
              <w:spacing w:after="0" w:line="240" w:lineRule="auto"/>
              <w:jc w:val="center"/>
              <w:rPr>
                <w:rFonts w:ascii="Times New Roman" w:eastAsia="Times New Roman" w:hAnsi="Times New Roman" w:cs="Arial"/>
                <w:b/>
                <w:szCs w:val="24"/>
                <w:lang w:eastAsia="pt-BR"/>
              </w:rPr>
            </w:pPr>
            <w:r w:rsidRPr="006C161D">
              <w:rPr>
                <w:rFonts w:ascii="Times New Roman" w:eastAsia="Times New Roman" w:hAnsi="Times New Roman" w:cs="Arial"/>
                <w:b/>
                <w:szCs w:val="24"/>
                <w:lang w:eastAsia="pt-BR"/>
              </w:rPr>
              <w:t>MINISTÉRIO DA EDUCAÇÃO</w:t>
            </w:r>
          </w:p>
          <w:p w:rsidR="006C161D" w:rsidRPr="006C161D" w:rsidRDefault="006C161D" w:rsidP="006C161D">
            <w:pPr>
              <w:spacing w:after="0" w:line="240" w:lineRule="auto"/>
              <w:jc w:val="center"/>
              <w:rPr>
                <w:rFonts w:ascii="Times New Roman" w:eastAsia="Times New Roman" w:hAnsi="Times New Roman" w:cs="Arial"/>
                <w:b/>
                <w:szCs w:val="24"/>
                <w:lang w:eastAsia="pt-BR"/>
              </w:rPr>
            </w:pPr>
            <w:r w:rsidRPr="006C161D">
              <w:rPr>
                <w:rFonts w:ascii="Times New Roman" w:eastAsia="Times New Roman" w:hAnsi="Times New Roman" w:cs="Arial"/>
                <w:b/>
                <w:szCs w:val="24"/>
                <w:lang w:eastAsia="pt-BR"/>
              </w:rPr>
              <w:t>UNIVERSIDADE FEDERAL DO RIO GRANDE DO NORTE</w:t>
            </w:r>
          </w:p>
          <w:p w:rsidR="006C161D" w:rsidRPr="006C161D" w:rsidRDefault="006C161D" w:rsidP="006C161D">
            <w:pPr>
              <w:spacing w:after="0" w:line="240" w:lineRule="auto"/>
              <w:jc w:val="center"/>
              <w:rPr>
                <w:rFonts w:ascii="Times New Roman" w:eastAsia="Times New Roman" w:hAnsi="Times New Roman" w:cs="Arial"/>
                <w:b/>
                <w:szCs w:val="24"/>
                <w:lang w:eastAsia="pt-BR"/>
              </w:rPr>
            </w:pPr>
            <w:r w:rsidRPr="006C161D">
              <w:rPr>
                <w:rFonts w:ascii="Times New Roman" w:eastAsia="Times New Roman" w:hAnsi="Times New Roman" w:cs="Arial"/>
                <w:b/>
                <w:szCs w:val="24"/>
                <w:lang w:eastAsia="pt-BR"/>
              </w:rPr>
              <w:t>PRÓ-REITORIA DE ADMINISTRAÇÃO</w:t>
            </w:r>
          </w:p>
          <w:p w:rsidR="006C161D" w:rsidRPr="006C161D" w:rsidRDefault="006C161D" w:rsidP="006C161D">
            <w:pPr>
              <w:spacing w:after="0" w:line="240" w:lineRule="auto"/>
              <w:jc w:val="center"/>
              <w:rPr>
                <w:rFonts w:ascii="Times New Roman" w:eastAsia="Times New Roman" w:hAnsi="Times New Roman" w:cs="Arial"/>
                <w:b/>
                <w:szCs w:val="24"/>
                <w:lang w:eastAsia="pt-BR"/>
              </w:rPr>
            </w:pPr>
            <w:r w:rsidRPr="006C161D">
              <w:rPr>
                <w:rFonts w:ascii="Times New Roman" w:eastAsia="Times New Roman" w:hAnsi="Times New Roman" w:cs="Arial"/>
                <w:b/>
                <w:szCs w:val="24"/>
                <w:lang w:eastAsia="pt-BR"/>
              </w:rPr>
              <w:t>DIRETORIA DE MATERIAL E PATRIMÔNIO</w:t>
            </w:r>
          </w:p>
        </w:tc>
      </w:tr>
    </w:tbl>
    <w:p w:rsidR="006C161D" w:rsidRPr="006C161D" w:rsidRDefault="006C161D" w:rsidP="006C161D">
      <w:pPr>
        <w:keepNext/>
        <w:spacing w:before="100" w:beforeAutospacing="1" w:after="100" w:afterAutospacing="1" w:line="240" w:lineRule="auto"/>
        <w:jc w:val="center"/>
        <w:rPr>
          <w:rFonts w:ascii="Times New Roman" w:eastAsia="Times New Roman" w:hAnsi="Times New Roman" w:cs="Arial"/>
          <w:b/>
          <w:caps/>
          <w:color w:val="FF0000"/>
          <w:szCs w:val="24"/>
          <w:lang w:eastAsia="pt-BR"/>
        </w:rPr>
      </w:pPr>
      <w:r w:rsidRPr="006C161D">
        <w:rPr>
          <w:rFonts w:ascii="Times New Roman" w:eastAsia="Times New Roman" w:hAnsi="Times New Roman" w:cs="Arial"/>
          <w:b/>
          <w:caps/>
          <w:color w:val="FF0000"/>
          <w:szCs w:val="24"/>
          <w:lang w:eastAsia="pt-BR"/>
        </w:rPr>
        <w:t>Pregão ELETRÔNICO Nº 20/2017 – Sistema De Registro De Preços</w:t>
      </w:r>
    </w:p>
    <w:p w:rsidR="006C161D" w:rsidRDefault="006C161D" w:rsidP="006C161D">
      <w:pPr>
        <w:spacing w:after="100" w:afterAutospacing="1" w:line="240" w:lineRule="auto"/>
        <w:jc w:val="center"/>
        <w:rPr>
          <w:rFonts w:ascii="Times New Roman" w:eastAsia="Times New Roman" w:hAnsi="Times New Roman" w:cs="Arial"/>
          <w:b/>
          <w:caps/>
          <w:color w:val="FF0000"/>
          <w:szCs w:val="24"/>
          <w:lang w:eastAsia="pt-BR"/>
        </w:rPr>
      </w:pPr>
      <w:r w:rsidRPr="006C161D">
        <w:rPr>
          <w:rFonts w:ascii="Times New Roman" w:eastAsia="Times New Roman" w:hAnsi="Times New Roman" w:cs="Arial"/>
          <w:b/>
          <w:caps/>
          <w:color w:val="FF0000"/>
          <w:szCs w:val="24"/>
          <w:lang w:eastAsia="pt-BR"/>
        </w:rPr>
        <w:t>Processo Administrativo Nº 23077.008159/2017-31</w:t>
      </w:r>
    </w:p>
    <w:p w:rsidR="00DD41A1" w:rsidRPr="006C161D" w:rsidRDefault="00DD41A1" w:rsidP="006C161D">
      <w:pPr>
        <w:spacing w:after="100" w:afterAutospacing="1" w:line="240" w:lineRule="auto"/>
        <w:jc w:val="center"/>
        <w:rPr>
          <w:rFonts w:ascii="Times New Roman" w:eastAsia="Times New Roman" w:hAnsi="Times New Roman" w:cs="Arial"/>
          <w:b/>
          <w:caps/>
          <w:color w:val="FF0000"/>
          <w:szCs w:val="24"/>
          <w:lang w:eastAsia="pt-BR"/>
        </w:rPr>
      </w:pPr>
    </w:p>
    <w:p w:rsidR="006C161D" w:rsidRPr="006C161D" w:rsidRDefault="006C161D" w:rsidP="006C161D">
      <w:pPr>
        <w:keepNext/>
        <w:pBdr>
          <w:bottom w:val="thinThickSmallGap" w:sz="12" w:space="1" w:color="auto"/>
        </w:pBdr>
        <w:spacing w:before="100" w:beforeAutospacing="1" w:after="100" w:afterAutospacing="1" w:line="240" w:lineRule="auto"/>
        <w:outlineLvl w:val="0"/>
        <w:rPr>
          <w:rFonts w:ascii="Times New Roman" w:eastAsia="Times New Roman" w:hAnsi="Times New Roman" w:cs="Times New Roman"/>
          <w:b/>
          <w:bCs/>
          <w:caps/>
          <w:color w:val="000000"/>
          <w:szCs w:val="20"/>
          <w:lang w:eastAsia="pt-BR"/>
        </w:rPr>
      </w:pPr>
      <w:bookmarkStart w:id="0" w:name="_Anexo_II_–"/>
      <w:bookmarkStart w:id="1" w:name="_Toc445465015"/>
      <w:bookmarkStart w:id="2" w:name="_Toc475094807"/>
      <w:bookmarkEnd w:id="0"/>
      <w:r w:rsidRPr="006C161D">
        <w:rPr>
          <w:rFonts w:ascii="Times New Roman" w:eastAsia="Times New Roman" w:hAnsi="Times New Roman" w:cs="Times New Roman"/>
          <w:b/>
          <w:bCs/>
          <w:caps/>
          <w:color w:val="000000"/>
          <w:szCs w:val="20"/>
          <w:lang w:eastAsia="pt-BR"/>
        </w:rPr>
        <w:t>Ata de Registro de Preços</w:t>
      </w:r>
      <w:bookmarkEnd w:id="1"/>
      <w:bookmarkEnd w:id="2"/>
      <w:r w:rsidRPr="006C161D">
        <w:rPr>
          <w:rFonts w:ascii="Times New Roman" w:eastAsia="Times New Roman" w:hAnsi="Times New Roman" w:cs="Times New Roman"/>
          <w:b/>
          <w:bCs/>
          <w:caps/>
          <w:color w:val="000000"/>
          <w:szCs w:val="20"/>
          <w:lang w:eastAsia="pt-BR"/>
        </w:rPr>
        <w:t xml:space="preserve"> </w:t>
      </w:r>
    </w:p>
    <w:p w:rsidR="006C161D" w:rsidRPr="006C161D" w:rsidRDefault="006C161D" w:rsidP="006C161D">
      <w:pPr>
        <w:widowControl w:val="0"/>
        <w:spacing w:before="100" w:beforeAutospacing="1" w:after="100" w:afterAutospacing="1" w:line="240" w:lineRule="auto"/>
        <w:jc w:val="both"/>
        <w:rPr>
          <w:rFonts w:ascii="Times New Roman" w:eastAsia="Times New Roman" w:hAnsi="Times New Roman" w:cs="Arial"/>
          <w:szCs w:val="20"/>
          <w:lang w:eastAsia="pt-BR"/>
        </w:rPr>
      </w:pPr>
      <w:r>
        <w:rPr>
          <w:rFonts w:ascii="Times New Roman" w:eastAsia="Times New Roman" w:hAnsi="Times New Roman" w:cs="Arial"/>
          <w:szCs w:val="24"/>
          <w:lang w:eastAsia="pt-BR"/>
        </w:rPr>
        <w:t>Aos seis dias de abril do ano de 2017</w:t>
      </w:r>
      <w:r w:rsidRPr="006C161D">
        <w:rPr>
          <w:rFonts w:ascii="Times New Roman" w:eastAsia="Times New Roman" w:hAnsi="Times New Roman" w:cs="Arial"/>
          <w:szCs w:val="24"/>
          <w:lang w:eastAsia="pt-BR"/>
        </w:rPr>
        <w:t xml:space="preserve">, a Universidade Federal do Rio Grande do Norte, inscrita no </w:t>
      </w:r>
      <w:r w:rsidRPr="006C161D">
        <w:rPr>
          <w:rFonts w:ascii="Times New Roman" w:eastAsia="Times New Roman" w:hAnsi="Times New Roman" w:cs="Arial"/>
          <w:b/>
          <w:szCs w:val="24"/>
          <w:lang w:eastAsia="pt-BR"/>
        </w:rPr>
        <w:t>CNPJ</w:t>
      </w:r>
      <w:r w:rsidRPr="006C161D">
        <w:rPr>
          <w:rFonts w:ascii="Times New Roman" w:eastAsia="Times New Roman" w:hAnsi="Times New Roman" w:cs="Arial"/>
          <w:szCs w:val="24"/>
          <w:lang w:eastAsia="pt-BR"/>
        </w:rPr>
        <w:t xml:space="preserve"> sob o </w:t>
      </w:r>
      <w:r w:rsidRPr="006C161D">
        <w:rPr>
          <w:rFonts w:ascii="Times New Roman" w:eastAsia="Times New Roman" w:hAnsi="Times New Roman" w:cs="Arial"/>
          <w:b/>
          <w:szCs w:val="24"/>
          <w:lang w:eastAsia="pt-BR"/>
        </w:rPr>
        <w:t>nº 24.365.710/0001-83</w:t>
      </w:r>
      <w:r w:rsidRPr="006C161D">
        <w:rPr>
          <w:rFonts w:ascii="Times New Roman" w:eastAsia="Times New Roman" w:hAnsi="Times New Roman" w:cs="Arial"/>
          <w:szCs w:val="24"/>
          <w:lang w:eastAsia="pt-BR"/>
        </w:rPr>
        <w:t xml:space="preserve">, através da </w:t>
      </w:r>
      <w:r w:rsidRPr="006C161D">
        <w:rPr>
          <w:rFonts w:ascii="Times New Roman" w:eastAsia="Times New Roman" w:hAnsi="Times New Roman" w:cs="Arial"/>
          <w:b/>
          <w:szCs w:val="24"/>
          <w:lang w:eastAsia="pt-BR"/>
        </w:rPr>
        <w:t>Comissão Especial de Registro de Preços</w:t>
      </w:r>
      <w:r w:rsidRPr="006C161D">
        <w:rPr>
          <w:rFonts w:ascii="Times New Roman" w:eastAsia="Times New Roman" w:hAnsi="Times New Roman" w:cs="Arial"/>
          <w:szCs w:val="24"/>
          <w:lang w:eastAsia="pt-BR"/>
        </w:rPr>
        <w:t xml:space="preserve"> designada por meio da </w:t>
      </w:r>
      <w:r w:rsidRPr="006C161D">
        <w:rPr>
          <w:rFonts w:ascii="Times New Roman" w:eastAsia="Times New Roman" w:hAnsi="Times New Roman" w:cs="Arial"/>
          <w:b/>
          <w:szCs w:val="24"/>
          <w:lang w:eastAsia="pt-BR"/>
        </w:rPr>
        <w:t>Portaria</w:t>
      </w:r>
      <w:r w:rsidRPr="006C161D">
        <w:rPr>
          <w:rFonts w:ascii="Times New Roman" w:eastAsia="Times New Roman" w:hAnsi="Times New Roman" w:cs="Arial"/>
          <w:szCs w:val="24"/>
          <w:lang w:eastAsia="pt-BR"/>
        </w:rPr>
        <w:t xml:space="preserve"> </w:t>
      </w:r>
      <w:r w:rsidRPr="006C161D">
        <w:rPr>
          <w:rFonts w:ascii="Times New Roman" w:eastAsia="Times New Roman" w:hAnsi="Times New Roman" w:cs="Arial"/>
          <w:b/>
          <w:szCs w:val="24"/>
          <w:lang w:eastAsia="pt-BR"/>
        </w:rPr>
        <w:t xml:space="preserve">nº </w:t>
      </w:r>
      <w:r w:rsidRPr="006C161D">
        <w:rPr>
          <w:rFonts w:ascii="Times New Roman" w:eastAsia="Times New Roman" w:hAnsi="Times New Roman" w:cs="Arial"/>
          <w:b/>
          <w:color w:val="FF0000"/>
          <w:szCs w:val="24"/>
          <w:lang w:eastAsia="pt-BR"/>
        </w:rPr>
        <w:t>22/2016-PROAD, de 10/02/2017</w:t>
      </w:r>
      <w:r w:rsidRPr="006C161D">
        <w:rPr>
          <w:rFonts w:ascii="Times New Roman" w:eastAsia="Times New Roman" w:hAnsi="Times New Roman" w:cs="Arial"/>
          <w:szCs w:val="24"/>
          <w:lang w:eastAsia="pt-BR"/>
        </w:rPr>
        <w:t xml:space="preserve">, lavra a presente </w:t>
      </w:r>
      <w:r w:rsidRPr="006C161D">
        <w:rPr>
          <w:rFonts w:ascii="Times New Roman" w:eastAsia="Times New Roman" w:hAnsi="Times New Roman" w:cs="Arial"/>
          <w:b/>
          <w:szCs w:val="24"/>
          <w:lang w:eastAsia="pt-BR"/>
        </w:rPr>
        <w:t>Ata de Registro de Preços –</w:t>
      </w:r>
      <w:r w:rsidRPr="006C161D">
        <w:rPr>
          <w:rFonts w:ascii="Times New Roman" w:eastAsia="Times New Roman" w:hAnsi="Times New Roman" w:cs="Arial"/>
          <w:szCs w:val="24"/>
          <w:lang w:eastAsia="pt-BR"/>
        </w:rPr>
        <w:t xml:space="preserve"> </w:t>
      </w:r>
      <w:r w:rsidRPr="006C161D">
        <w:rPr>
          <w:rFonts w:ascii="Times New Roman" w:eastAsia="Times New Roman" w:hAnsi="Times New Roman" w:cs="Arial"/>
          <w:b/>
          <w:szCs w:val="24"/>
          <w:lang w:eastAsia="pt-BR"/>
        </w:rPr>
        <w:t>ARP</w:t>
      </w:r>
      <w:r w:rsidRPr="006C161D">
        <w:rPr>
          <w:rFonts w:ascii="Times New Roman" w:eastAsia="Times New Roman" w:hAnsi="Times New Roman" w:cs="Arial"/>
          <w:szCs w:val="24"/>
          <w:lang w:eastAsia="pt-BR"/>
        </w:rPr>
        <w:t xml:space="preserve">, referente ao presente pregão eletrônico, nº </w:t>
      </w:r>
      <w:r w:rsidRPr="006C161D">
        <w:rPr>
          <w:rFonts w:ascii="Times New Roman" w:eastAsia="Times New Roman" w:hAnsi="Times New Roman" w:cs="Arial"/>
          <w:b/>
          <w:color w:val="FF0000"/>
          <w:szCs w:val="24"/>
          <w:lang w:eastAsia="pt-BR"/>
        </w:rPr>
        <w:t>20/2017</w:t>
      </w:r>
      <w:r w:rsidRPr="006C161D">
        <w:rPr>
          <w:rFonts w:ascii="Times New Roman" w:eastAsia="Times New Roman" w:hAnsi="Times New Roman" w:cs="Arial"/>
          <w:szCs w:val="24"/>
          <w:lang w:eastAsia="pt-BR"/>
        </w:rPr>
        <w:t xml:space="preserve">, que tem como objeto a </w:t>
      </w:r>
      <w:r w:rsidRPr="006C161D">
        <w:rPr>
          <w:rFonts w:ascii="Times New Roman" w:eastAsia="Times New Roman" w:hAnsi="Times New Roman" w:cs="Arial"/>
          <w:color w:val="FF0000"/>
          <w:szCs w:val="24"/>
          <w:lang w:eastAsia="pt-BR"/>
        </w:rPr>
        <w:t>Contratação de empresa para Manutenção em Máquinas e Equipamentos de Construção Civil para atender a UFRN, pelo período de 12 (doze) meses</w:t>
      </w:r>
      <w:r w:rsidRPr="006C161D">
        <w:rPr>
          <w:rFonts w:ascii="Times New Roman" w:eastAsia="Times New Roman" w:hAnsi="Times New Roman" w:cs="Arial"/>
          <w:szCs w:val="20"/>
          <w:lang w:eastAsia="pt-BR"/>
        </w:rPr>
        <w:t xml:space="preserve">, </w:t>
      </w:r>
      <w:r w:rsidRPr="006C161D">
        <w:rPr>
          <w:rFonts w:ascii="Times New Roman" w:eastAsia="Times New Roman" w:hAnsi="Times New Roman" w:cs="Arial"/>
          <w:szCs w:val="24"/>
          <w:lang w:eastAsia="pt-BR"/>
        </w:rPr>
        <w:t xml:space="preserve">conforme especificado de forma detalhada no </w:t>
      </w:r>
      <w:r w:rsidRPr="006C161D">
        <w:rPr>
          <w:rFonts w:ascii="Times New Roman" w:eastAsia="Times New Roman" w:hAnsi="Times New Roman" w:cs="Arial"/>
          <w:b/>
          <w:i/>
          <w:szCs w:val="24"/>
          <w:lang w:eastAsia="pt-BR"/>
        </w:rPr>
        <w:t>Termo de Referência</w:t>
      </w:r>
      <w:r w:rsidRPr="006C161D">
        <w:rPr>
          <w:rFonts w:ascii="Times New Roman" w:eastAsia="Times New Roman" w:hAnsi="Times New Roman" w:cs="Arial"/>
          <w:szCs w:val="24"/>
          <w:lang w:eastAsia="pt-BR"/>
        </w:rPr>
        <w:t xml:space="preserve"> e no </w:t>
      </w:r>
      <w:r w:rsidRPr="006C161D">
        <w:rPr>
          <w:rFonts w:ascii="Times New Roman" w:eastAsia="Times New Roman" w:hAnsi="Times New Roman" w:cs="Arial"/>
          <w:b/>
          <w:i/>
          <w:szCs w:val="24"/>
          <w:lang w:eastAsia="pt-BR"/>
        </w:rPr>
        <w:t>Relatório de Itens do Objeto Licitados</w:t>
      </w:r>
      <w:r w:rsidRPr="006C161D">
        <w:rPr>
          <w:rFonts w:ascii="Times New Roman" w:eastAsia="Times New Roman" w:hAnsi="Times New Roman" w:cs="Arial"/>
          <w:szCs w:val="24"/>
          <w:lang w:eastAsia="pt-BR"/>
        </w:rPr>
        <w:t xml:space="preserve">,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w:t>
      </w:r>
      <w:hyperlink r:id="rId6" w:history="1">
        <w:r w:rsidRPr="006C161D">
          <w:rPr>
            <w:rFonts w:ascii="Times New Roman" w:eastAsia="Times New Roman" w:hAnsi="Times New Roman" w:cs="Arial"/>
            <w:color w:val="0000FF"/>
            <w:szCs w:val="24"/>
            <w:u w:val="single"/>
            <w:lang w:eastAsia="pt-BR"/>
          </w:rPr>
          <w:t>Dec. nº 7.892/2013</w:t>
        </w:r>
      </w:hyperlink>
      <w:r w:rsidRPr="006C161D">
        <w:rPr>
          <w:rFonts w:ascii="Times New Roman" w:eastAsia="Times New Roman" w:hAnsi="Times New Roman" w:cs="Arial"/>
          <w:szCs w:val="24"/>
          <w:lang w:eastAsia="pt-BR"/>
        </w:rPr>
        <w:t xml:space="preserve">, alterado pelo </w:t>
      </w:r>
      <w:hyperlink r:id="rId7" w:history="1">
        <w:r w:rsidRPr="006C161D">
          <w:rPr>
            <w:rFonts w:ascii="Times New Roman" w:eastAsia="Times New Roman" w:hAnsi="Times New Roman" w:cs="Arial"/>
            <w:color w:val="0000FF"/>
            <w:szCs w:val="24"/>
            <w:u w:val="single"/>
            <w:lang w:eastAsia="pt-BR"/>
          </w:rPr>
          <w:t>Dec. nº 8.250/2014</w:t>
        </w:r>
      </w:hyperlink>
      <w:r w:rsidRPr="006C161D">
        <w:rPr>
          <w:rFonts w:ascii="Times New Roman" w:eastAsia="Times New Roman" w:hAnsi="Times New Roman" w:cs="Arial"/>
          <w:szCs w:val="24"/>
          <w:lang w:eastAsia="pt-BR"/>
        </w:rPr>
        <w:t>.</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3" w:name="_Da_Validade_da"/>
      <w:bookmarkStart w:id="4" w:name="_Da_Vigência_da"/>
      <w:bookmarkStart w:id="5" w:name="_Toc445465020"/>
      <w:bookmarkStart w:id="6" w:name="_Toc475094808"/>
      <w:bookmarkEnd w:id="3"/>
      <w:bookmarkEnd w:id="4"/>
      <w:r w:rsidRPr="006C161D">
        <w:rPr>
          <w:rFonts w:ascii="Times New Roman" w:eastAsia="Times New Roman" w:hAnsi="Times New Roman" w:cs="Times New Roman"/>
          <w:b/>
          <w:smallCaps/>
          <w:szCs w:val="20"/>
          <w:lang w:eastAsia="pt-BR"/>
        </w:rPr>
        <w:t>1 – Da Vigência</w:t>
      </w:r>
      <w:bookmarkEnd w:id="5"/>
      <w:bookmarkEnd w:id="6"/>
    </w:p>
    <w:p w:rsidR="006C161D" w:rsidRPr="006C161D" w:rsidRDefault="006C161D" w:rsidP="006C161D">
      <w:pPr>
        <w:widowControl w:val="0"/>
        <w:numPr>
          <w:ilvl w:val="0"/>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Disposições relativas à Vigência.</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A presente</w:t>
      </w:r>
      <w:proofErr w:type="gramEnd"/>
      <w:r w:rsidRPr="006C161D">
        <w:rPr>
          <w:rFonts w:ascii="Times New Roman" w:eastAsia="Times New Roman" w:hAnsi="Times New Roman" w:cs="Times New Roman"/>
          <w:szCs w:val="24"/>
          <w:lang w:eastAsia="pt-BR"/>
        </w:rPr>
        <w:t xml:space="preserve"> ata terá </w:t>
      </w:r>
      <w:r w:rsidRPr="006C161D">
        <w:rPr>
          <w:rFonts w:ascii="Times New Roman" w:eastAsia="Times New Roman" w:hAnsi="Times New Roman" w:cs="Times New Roman"/>
          <w:b/>
          <w:szCs w:val="24"/>
          <w:u w:val="single"/>
          <w:lang w:eastAsia="pt-BR"/>
        </w:rPr>
        <w:t>validade de 12 (doze) meses, a partir de sua assinatura</w:t>
      </w:r>
      <w:r w:rsidRPr="006C161D">
        <w:rPr>
          <w:rFonts w:ascii="Times New Roman" w:eastAsia="Times New Roman" w:hAnsi="Times New Roman" w:cs="Times New Roman"/>
          <w:szCs w:val="24"/>
          <w:lang w:eastAsia="pt-BR"/>
        </w:rPr>
        <w:t xml:space="preserve">, e será disponibilizada no </w:t>
      </w:r>
      <w:hyperlink r:id="rId8" w:history="1">
        <w:r w:rsidRPr="006C161D">
          <w:rPr>
            <w:rFonts w:ascii="Times New Roman" w:eastAsia="Times New Roman" w:hAnsi="Times New Roman" w:cs="Times New Roman"/>
            <w:color w:val="0000FF"/>
            <w:szCs w:val="24"/>
            <w:u w:val="single"/>
            <w:lang w:eastAsia="pt-BR"/>
          </w:rPr>
          <w:t>Portal de Compras do Governo Federal</w:t>
        </w:r>
      </w:hyperlink>
      <w:r w:rsidRPr="006C161D">
        <w:rPr>
          <w:rFonts w:ascii="Times New Roman" w:eastAsia="Times New Roman" w:hAnsi="Times New Roman" w:cs="Times New Roman"/>
          <w:szCs w:val="24"/>
          <w:lang w:eastAsia="pt-BR"/>
        </w:rPr>
        <w:t xml:space="preserve"> durante todo o período de sua vigência.</w:t>
      </w:r>
    </w:p>
    <w:p w:rsidR="006C161D" w:rsidRPr="006C161D" w:rsidRDefault="006C161D" w:rsidP="006C161D">
      <w:pPr>
        <w:widowControl w:val="0"/>
        <w:numPr>
          <w:ilvl w:val="2"/>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Não</w:t>
      </w:r>
      <w:r w:rsidRPr="006C161D">
        <w:rPr>
          <w:rFonts w:ascii="Times New Roman" w:eastAsia="Times New Roman" w:hAnsi="Times New Roman" w:cs="Times New Roman"/>
          <w:szCs w:val="20"/>
          <w:lang w:eastAsia="pt-BR"/>
        </w:rPr>
        <w:t xml:space="preserve"> serão efetuados acréscimos nos quantitativos fixados pela Ata de Registro de Preços, inclusive o acréscimo de que trata o </w:t>
      </w:r>
      <w:hyperlink r:id="rId9" w:anchor="art65" w:history="1">
        <w:r w:rsidRPr="006C161D">
          <w:rPr>
            <w:rFonts w:ascii="Times New Roman" w:eastAsia="Times New Roman" w:hAnsi="Times New Roman" w:cs="Times New Roman"/>
            <w:color w:val="0000FF"/>
            <w:u w:val="single"/>
            <w:lang w:eastAsia="pt-BR"/>
          </w:rPr>
          <w:t xml:space="preserve">§ 1º do </w:t>
        </w:r>
        <w:r w:rsidRPr="006C161D">
          <w:rPr>
            <w:rFonts w:ascii="Times New Roman" w:eastAsia="Times New Roman" w:hAnsi="Times New Roman" w:cs="Times New Roman"/>
            <w:color w:val="0000FF"/>
            <w:szCs w:val="24"/>
            <w:u w:val="single"/>
            <w:lang w:eastAsia="pt-BR"/>
          </w:rPr>
          <w:t>art. 65 da Lei nº 8.666/1993</w:t>
        </w:r>
      </w:hyperlink>
      <w:r w:rsidRPr="006C161D">
        <w:rPr>
          <w:rFonts w:ascii="Times New Roman" w:eastAsia="Times New Roman" w:hAnsi="Times New Roman" w:cs="Times New Roman"/>
          <w:szCs w:val="24"/>
          <w:lang w:eastAsia="pt-BR"/>
        </w:rPr>
        <w:t>.</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7" w:name="_Toc475094809"/>
      <w:r w:rsidRPr="006C161D">
        <w:rPr>
          <w:rFonts w:ascii="Times New Roman" w:eastAsia="Times New Roman" w:hAnsi="Times New Roman" w:cs="Times New Roman"/>
          <w:b/>
          <w:smallCaps/>
          <w:szCs w:val="20"/>
          <w:lang w:eastAsia="pt-BR"/>
        </w:rPr>
        <w:t>2 – Do Registro de Preços</w:t>
      </w:r>
      <w:bookmarkEnd w:id="7"/>
    </w:p>
    <w:p w:rsidR="006C161D" w:rsidRPr="006C161D" w:rsidRDefault="006C161D" w:rsidP="006C161D">
      <w:pPr>
        <w:widowControl w:val="0"/>
        <w:numPr>
          <w:ilvl w:val="0"/>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Disposições relativas ao Registro de Preços.</w:t>
      </w:r>
    </w:p>
    <w:p w:rsid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O preço registrado, a quantidade, o fornecedor e as especificações dos itens do objeto ofertados pelas empresas, constantes deste registro de preço, encontram-se contidos nas tabelas abaixo.</w:t>
      </w:r>
    </w:p>
    <w:p w:rsidR="006C161D" w:rsidRDefault="006C161D" w:rsidP="006C161D">
      <w:pPr>
        <w:widowControl w:val="0"/>
        <w:spacing w:before="160" w:beforeAutospacing="1" w:after="160" w:afterAutospacing="1" w:line="240" w:lineRule="auto"/>
        <w:jc w:val="both"/>
        <w:rPr>
          <w:rFonts w:ascii="Times New Roman" w:eastAsia="Times New Roman" w:hAnsi="Times New Roman" w:cs="Times New Roman"/>
          <w:szCs w:val="24"/>
          <w:lang w:eastAsia="pt-BR"/>
        </w:rPr>
      </w:pPr>
    </w:p>
    <w:tbl>
      <w:tblPr>
        <w:tblW w:w="5000" w:type="pct"/>
        <w:jc w:val="center"/>
        <w:tblCellSpacing w:w="7" w:type="dxa"/>
        <w:shd w:val="clear" w:color="auto" w:fill="D8E5B8"/>
        <w:tblCellMar>
          <w:left w:w="0" w:type="dxa"/>
          <w:right w:w="0" w:type="dxa"/>
        </w:tblCellMar>
        <w:tblLook w:val="04A0"/>
      </w:tblPr>
      <w:tblGrid>
        <w:gridCol w:w="516"/>
        <w:gridCol w:w="2223"/>
        <w:gridCol w:w="1818"/>
        <w:gridCol w:w="1264"/>
        <w:gridCol w:w="1342"/>
        <w:gridCol w:w="1342"/>
        <w:gridCol w:w="27"/>
      </w:tblGrid>
      <w:tr w:rsidR="006C161D" w:rsidRPr="006C161D" w:rsidTr="006C161D">
        <w:trPr>
          <w:tblCellSpacing w:w="7" w:type="dxa"/>
          <w:jc w:val="center"/>
        </w:trPr>
        <w:tc>
          <w:tcPr>
            <w:tcW w:w="0" w:type="auto"/>
            <w:gridSpan w:val="7"/>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r w:rsidRPr="006C161D">
              <w:rPr>
                <w:rFonts w:ascii="Times New Roman" w:eastAsia="Times New Roman" w:hAnsi="Times New Roman" w:cs="Times New Roman"/>
                <w:b/>
                <w:bCs/>
                <w:szCs w:val="24"/>
                <w:lang w:eastAsia="pt-BR"/>
              </w:rPr>
              <w:t>13.119.632/0001-10</w:t>
            </w:r>
            <w:r w:rsidRPr="006C161D">
              <w:rPr>
                <w:rFonts w:ascii="Times New Roman" w:eastAsia="Times New Roman" w:hAnsi="Times New Roman" w:cs="Times New Roman"/>
                <w:szCs w:val="24"/>
                <w:lang w:eastAsia="pt-BR"/>
              </w:rPr>
              <w:t> - MAXIMUS GESTAO DE MANUTENCAO INDUSTRIAL LTDA - ME</w:t>
            </w:r>
          </w:p>
        </w:tc>
      </w:tr>
      <w:tr w:rsidR="006C161D" w:rsidRPr="006C161D" w:rsidTr="006C161D">
        <w:trPr>
          <w:tblCellSpacing w:w="7" w:type="dxa"/>
          <w:jc w:val="center"/>
        </w:trPr>
        <w:tc>
          <w:tcPr>
            <w:tcW w:w="0" w:type="auto"/>
            <w:shd w:val="clear" w:color="auto" w:fill="D8E5B8"/>
            <w:vAlign w:val="center"/>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b/>
                <w:bCs/>
                <w:szCs w:val="24"/>
                <w:lang w:eastAsia="pt-BR"/>
              </w:rPr>
            </w:pPr>
            <w:r w:rsidRPr="006C161D">
              <w:rPr>
                <w:rFonts w:ascii="Times New Roman" w:eastAsia="Times New Roman" w:hAnsi="Times New Roman" w:cs="Times New Roman"/>
                <w:b/>
                <w:bCs/>
                <w:szCs w:val="24"/>
                <w:lang w:eastAsia="pt-BR"/>
              </w:rPr>
              <w:t>Item</w:t>
            </w:r>
          </w:p>
        </w:tc>
        <w:tc>
          <w:tcPr>
            <w:tcW w:w="0" w:type="auto"/>
            <w:shd w:val="clear" w:color="auto" w:fill="D8E5B8"/>
            <w:vAlign w:val="center"/>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b/>
                <w:bCs/>
                <w:szCs w:val="24"/>
                <w:lang w:eastAsia="pt-BR"/>
              </w:rPr>
            </w:pPr>
            <w:r w:rsidRPr="006C161D">
              <w:rPr>
                <w:rFonts w:ascii="Times New Roman" w:eastAsia="Times New Roman" w:hAnsi="Times New Roman" w:cs="Times New Roman"/>
                <w:b/>
                <w:bCs/>
                <w:szCs w:val="24"/>
                <w:lang w:eastAsia="pt-BR"/>
              </w:rPr>
              <w:t>Descrição</w:t>
            </w:r>
          </w:p>
        </w:tc>
        <w:tc>
          <w:tcPr>
            <w:tcW w:w="0" w:type="auto"/>
            <w:shd w:val="clear" w:color="auto" w:fill="D8E5B8"/>
            <w:vAlign w:val="center"/>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b/>
                <w:bCs/>
                <w:szCs w:val="24"/>
                <w:lang w:eastAsia="pt-BR"/>
              </w:rPr>
            </w:pPr>
            <w:r w:rsidRPr="006C161D">
              <w:rPr>
                <w:rFonts w:ascii="Times New Roman" w:eastAsia="Times New Roman" w:hAnsi="Times New Roman" w:cs="Times New Roman"/>
                <w:b/>
                <w:bCs/>
                <w:szCs w:val="24"/>
                <w:lang w:eastAsia="pt-BR"/>
              </w:rPr>
              <w:t>Unidade de Fornecimento</w:t>
            </w:r>
          </w:p>
        </w:tc>
        <w:tc>
          <w:tcPr>
            <w:tcW w:w="0" w:type="auto"/>
            <w:shd w:val="clear" w:color="auto" w:fill="D8E5B8"/>
            <w:vAlign w:val="center"/>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b/>
                <w:bCs/>
                <w:szCs w:val="24"/>
                <w:lang w:eastAsia="pt-BR"/>
              </w:rPr>
            </w:pPr>
            <w:r w:rsidRPr="006C161D">
              <w:rPr>
                <w:rFonts w:ascii="Times New Roman" w:eastAsia="Times New Roman" w:hAnsi="Times New Roman" w:cs="Times New Roman"/>
                <w:b/>
                <w:bCs/>
                <w:szCs w:val="24"/>
                <w:lang w:eastAsia="pt-BR"/>
              </w:rPr>
              <w:t>Quantidade</w:t>
            </w:r>
          </w:p>
        </w:tc>
        <w:tc>
          <w:tcPr>
            <w:tcW w:w="0" w:type="auto"/>
            <w:shd w:val="clear" w:color="auto" w:fill="D8E5B8"/>
            <w:vAlign w:val="center"/>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b/>
                <w:bCs/>
                <w:szCs w:val="24"/>
                <w:lang w:eastAsia="pt-BR"/>
              </w:rPr>
            </w:pPr>
            <w:r w:rsidRPr="006C161D">
              <w:rPr>
                <w:rFonts w:ascii="Times New Roman" w:eastAsia="Times New Roman" w:hAnsi="Times New Roman" w:cs="Times New Roman"/>
                <w:b/>
                <w:bCs/>
                <w:szCs w:val="24"/>
                <w:lang w:eastAsia="pt-BR"/>
              </w:rPr>
              <w:t>Valor Unitário</w:t>
            </w:r>
          </w:p>
        </w:tc>
        <w:tc>
          <w:tcPr>
            <w:tcW w:w="0" w:type="auto"/>
            <w:shd w:val="clear" w:color="auto" w:fill="D8E5B8"/>
            <w:vAlign w:val="center"/>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b/>
                <w:bCs/>
                <w:szCs w:val="24"/>
                <w:lang w:eastAsia="pt-BR"/>
              </w:rPr>
            </w:pPr>
            <w:r w:rsidRPr="006C161D">
              <w:rPr>
                <w:rFonts w:ascii="Times New Roman" w:eastAsia="Times New Roman" w:hAnsi="Times New Roman" w:cs="Times New Roman"/>
                <w:b/>
                <w:bCs/>
                <w:szCs w:val="24"/>
                <w:lang w:eastAsia="pt-BR"/>
              </w:rPr>
              <w:t>Valor Global</w:t>
            </w:r>
          </w:p>
        </w:tc>
        <w:tc>
          <w:tcPr>
            <w:tcW w:w="0" w:type="auto"/>
            <w:shd w:val="clear" w:color="auto" w:fill="D8E5B8"/>
            <w:vAlign w:val="center"/>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p>
        </w:tc>
      </w:tr>
      <w:tr w:rsidR="006C161D" w:rsidRPr="006C161D" w:rsidTr="006C161D">
        <w:trPr>
          <w:tblCellSpacing w:w="7" w:type="dxa"/>
          <w:jc w:val="center"/>
        </w:trPr>
        <w:tc>
          <w:tcPr>
            <w:tcW w:w="0" w:type="auto"/>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1</w:t>
            </w:r>
            <w:proofErr w:type="gramEnd"/>
          </w:p>
        </w:tc>
        <w:tc>
          <w:tcPr>
            <w:tcW w:w="0" w:type="auto"/>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Manutenção de Máquinas / Portáteis / Operatrizes</w:t>
            </w:r>
          </w:p>
        </w:tc>
        <w:tc>
          <w:tcPr>
            <w:tcW w:w="0" w:type="auto"/>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SERVIÇO</w:t>
            </w:r>
          </w:p>
        </w:tc>
        <w:tc>
          <w:tcPr>
            <w:tcW w:w="0" w:type="auto"/>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1</w:t>
            </w:r>
            <w:proofErr w:type="gramEnd"/>
          </w:p>
        </w:tc>
        <w:tc>
          <w:tcPr>
            <w:tcW w:w="0" w:type="auto"/>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R$ 38.000,0000</w:t>
            </w:r>
          </w:p>
        </w:tc>
        <w:tc>
          <w:tcPr>
            <w:tcW w:w="0" w:type="auto"/>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R$ 38.000,0000</w:t>
            </w:r>
          </w:p>
        </w:tc>
        <w:tc>
          <w:tcPr>
            <w:tcW w:w="0" w:type="auto"/>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p>
        </w:tc>
      </w:tr>
      <w:tr w:rsidR="006C161D" w:rsidRPr="006C161D" w:rsidTr="006C161D">
        <w:trPr>
          <w:tblCellSpacing w:w="7" w:type="dxa"/>
          <w:jc w:val="center"/>
        </w:trPr>
        <w:tc>
          <w:tcPr>
            <w:tcW w:w="0" w:type="auto"/>
            <w:gridSpan w:val="6"/>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r w:rsidRPr="006C161D">
              <w:rPr>
                <w:rFonts w:ascii="Times New Roman" w:eastAsia="Times New Roman" w:hAnsi="Times New Roman" w:cs="Times New Roman"/>
                <w:b/>
                <w:bCs/>
                <w:szCs w:val="24"/>
                <w:lang w:eastAsia="pt-BR"/>
              </w:rPr>
              <w:t>Marca: </w:t>
            </w:r>
            <w:r w:rsidRPr="006C161D">
              <w:rPr>
                <w:rFonts w:ascii="Times New Roman" w:eastAsia="Times New Roman" w:hAnsi="Times New Roman" w:cs="Times New Roman"/>
                <w:szCs w:val="24"/>
                <w:lang w:eastAsia="pt-BR"/>
              </w:rPr>
              <w:br/>
            </w:r>
            <w:r w:rsidRPr="006C161D">
              <w:rPr>
                <w:rFonts w:ascii="Times New Roman" w:eastAsia="Times New Roman" w:hAnsi="Times New Roman" w:cs="Times New Roman"/>
                <w:b/>
                <w:bCs/>
                <w:szCs w:val="24"/>
                <w:lang w:eastAsia="pt-BR"/>
              </w:rPr>
              <w:t>Fabricante: </w:t>
            </w:r>
            <w:r w:rsidRPr="006C161D">
              <w:rPr>
                <w:rFonts w:ascii="Times New Roman" w:eastAsia="Times New Roman" w:hAnsi="Times New Roman" w:cs="Times New Roman"/>
                <w:szCs w:val="24"/>
                <w:lang w:eastAsia="pt-BR"/>
              </w:rPr>
              <w:br/>
            </w:r>
            <w:r w:rsidRPr="006C161D">
              <w:rPr>
                <w:rFonts w:ascii="Times New Roman" w:eastAsia="Times New Roman" w:hAnsi="Times New Roman" w:cs="Times New Roman"/>
                <w:b/>
                <w:bCs/>
                <w:szCs w:val="24"/>
                <w:lang w:eastAsia="pt-BR"/>
              </w:rPr>
              <w:lastRenderedPageBreak/>
              <w:t>Modelo / Versão: </w:t>
            </w:r>
            <w:r w:rsidRPr="006C161D">
              <w:rPr>
                <w:rFonts w:ascii="Times New Roman" w:eastAsia="Times New Roman" w:hAnsi="Times New Roman" w:cs="Times New Roman"/>
                <w:szCs w:val="24"/>
                <w:lang w:eastAsia="pt-BR"/>
              </w:rPr>
              <w:br/>
            </w:r>
            <w:r w:rsidRPr="006C161D">
              <w:rPr>
                <w:rFonts w:ascii="Times New Roman" w:eastAsia="Times New Roman" w:hAnsi="Times New Roman" w:cs="Times New Roman"/>
                <w:b/>
                <w:bCs/>
                <w:szCs w:val="24"/>
                <w:lang w:eastAsia="pt-BR"/>
              </w:rPr>
              <w:t>Descrição Detalhada do Objeto Ofertado: </w:t>
            </w:r>
            <w:r w:rsidRPr="006C161D">
              <w:rPr>
                <w:rFonts w:ascii="Times New Roman" w:eastAsia="Times New Roman" w:hAnsi="Times New Roman" w:cs="Times New Roman"/>
                <w:szCs w:val="24"/>
                <w:lang w:eastAsia="pt-BR"/>
              </w:rPr>
              <w:t>Serviços de manutenção preventiva e corretiva em máquinas e equipamentos da área da construção civil para atender ao campus da UFRN, pelo período de 12 (doze) meses.</w:t>
            </w:r>
          </w:p>
        </w:tc>
        <w:tc>
          <w:tcPr>
            <w:tcW w:w="0" w:type="auto"/>
            <w:shd w:val="clear" w:color="auto" w:fill="FFFFFF"/>
            <w:hideMark/>
          </w:tcPr>
          <w:p w:rsidR="006C161D" w:rsidRPr="006C161D" w:rsidRDefault="006C161D" w:rsidP="006C161D">
            <w:pPr>
              <w:widowControl w:val="0"/>
              <w:spacing w:before="160" w:beforeAutospacing="1" w:after="160" w:afterAutospacing="1" w:line="240" w:lineRule="auto"/>
              <w:jc w:val="center"/>
              <w:rPr>
                <w:rFonts w:ascii="Times New Roman" w:eastAsia="Times New Roman" w:hAnsi="Times New Roman" w:cs="Times New Roman"/>
                <w:szCs w:val="24"/>
                <w:lang w:eastAsia="pt-BR"/>
              </w:rPr>
            </w:pPr>
          </w:p>
        </w:tc>
      </w:tr>
    </w:tbl>
    <w:p w:rsidR="006C161D" w:rsidRPr="006C161D" w:rsidRDefault="006C161D" w:rsidP="006C161D">
      <w:pPr>
        <w:widowControl w:val="0"/>
        <w:spacing w:before="160" w:beforeAutospacing="1" w:after="160" w:afterAutospacing="1" w:line="240" w:lineRule="auto"/>
        <w:jc w:val="both"/>
        <w:rPr>
          <w:rFonts w:ascii="Times New Roman" w:eastAsia="Times New Roman" w:hAnsi="Times New Roman" w:cs="Times New Roman"/>
          <w:szCs w:val="24"/>
          <w:lang w:eastAsia="pt-BR"/>
        </w:rPr>
      </w:pP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Os preços e o(s) </w:t>
      </w:r>
      <w:proofErr w:type="gramStart"/>
      <w:r w:rsidRPr="006C161D">
        <w:rPr>
          <w:rFonts w:ascii="Times New Roman" w:eastAsia="Times New Roman" w:hAnsi="Times New Roman" w:cs="Times New Roman"/>
          <w:szCs w:val="24"/>
          <w:lang w:eastAsia="pt-BR"/>
        </w:rPr>
        <w:t>particular(</w:t>
      </w:r>
      <w:proofErr w:type="spellStart"/>
      <w:proofErr w:type="gramEnd"/>
      <w:r w:rsidRPr="006C161D">
        <w:rPr>
          <w:rFonts w:ascii="Times New Roman" w:eastAsia="Times New Roman" w:hAnsi="Times New Roman" w:cs="Times New Roman"/>
          <w:szCs w:val="24"/>
          <w:lang w:eastAsia="pt-BR"/>
        </w:rPr>
        <w:t>es</w:t>
      </w:r>
      <w:proofErr w:type="spellEnd"/>
      <w:r w:rsidRPr="006C161D">
        <w:rPr>
          <w:rFonts w:ascii="Times New Roman" w:eastAsia="Times New Roman" w:hAnsi="Times New Roman" w:cs="Times New Roman"/>
          <w:szCs w:val="24"/>
          <w:lang w:eastAsia="pt-BR"/>
        </w:rPr>
        <w:t>) fornecedor(</w:t>
      </w:r>
      <w:proofErr w:type="spellStart"/>
      <w:r w:rsidRPr="006C161D">
        <w:rPr>
          <w:rFonts w:ascii="Times New Roman" w:eastAsia="Times New Roman" w:hAnsi="Times New Roman" w:cs="Times New Roman"/>
          <w:szCs w:val="24"/>
          <w:lang w:eastAsia="pt-BR"/>
        </w:rPr>
        <w:t>es</w:t>
      </w:r>
      <w:proofErr w:type="spellEnd"/>
      <w:r w:rsidRPr="006C161D">
        <w:rPr>
          <w:rFonts w:ascii="Times New Roman" w:eastAsia="Times New Roman" w:hAnsi="Times New Roman" w:cs="Times New Roman"/>
          <w:szCs w:val="24"/>
          <w:lang w:eastAsia="pt-BR"/>
        </w:rPr>
        <w:t>) ora registrados decorrem da classificação final do procedimento licitatório sobredito, o qual foi processado em estrita vinculação aos critérios estabelecidos no instrumento convocatório de tal certame.</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color w:val="000000"/>
          <w:szCs w:val="20"/>
          <w:lang w:eastAsia="pt-BR"/>
        </w:rPr>
      </w:pPr>
      <w:r w:rsidRPr="006C161D">
        <w:rPr>
          <w:rFonts w:ascii="Times New Roman" w:eastAsia="Times New Roman" w:hAnsi="Times New Roman" w:cs="Times New Roman"/>
          <w:szCs w:val="20"/>
          <w:lang w:eastAsia="pt-BR"/>
        </w:rPr>
        <w:t xml:space="preserve">O </w:t>
      </w:r>
      <w:r w:rsidRPr="006C161D">
        <w:rPr>
          <w:rFonts w:ascii="Times New Roman" w:eastAsia="Times New Roman" w:hAnsi="Times New Roman" w:cs="Times New Roman"/>
          <w:szCs w:val="24"/>
          <w:lang w:eastAsia="pt-BR"/>
        </w:rPr>
        <w:t>registro</w:t>
      </w:r>
      <w:r w:rsidRPr="006C161D">
        <w:rPr>
          <w:rFonts w:ascii="Times New Roman" w:eastAsia="Times New Roman" w:hAnsi="Times New Roman" w:cs="Times New Roman"/>
          <w:szCs w:val="20"/>
          <w:lang w:eastAsia="pt-BR"/>
        </w:rPr>
        <w:t xml:space="preserve"> </w:t>
      </w:r>
      <w:r w:rsidRPr="006C161D">
        <w:rPr>
          <w:rFonts w:ascii="Times New Roman" w:eastAsia="Times New Roman" w:hAnsi="Times New Roman" w:cs="Times New Roman"/>
          <w:color w:val="000000"/>
          <w:szCs w:val="20"/>
          <w:lang w:eastAsia="pt-BR"/>
        </w:rPr>
        <w:t>dos licitantes que aceitarem cotar os bens ou serviços com preços iguais ao da licitante vencedora deve seguir a sequência da classificação do certame;</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color w:val="000000"/>
          <w:szCs w:val="20"/>
          <w:lang w:eastAsia="pt-BR"/>
        </w:rPr>
        <w:t>O registro a que se refere o inciso acima</w:t>
      </w:r>
      <w:proofErr w:type="gramStart"/>
      <w:r w:rsidRPr="006C161D">
        <w:rPr>
          <w:rFonts w:ascii="Times New Roman" w:eastAsia="Times New Roman" w:hAnsi="Times New Roman" w:cs="Times New Roman"/>
          <w:color w:val="000000"/>
          <w:szCs w:val="20"/>
          <w:lang w:eastAsia="pt-BR"/>
        </w:rPr>
        <w:t>, tem</w:t>
      </w:r>
      <w:proofErr w:type="gramEnd"/>
      <w:r w:rsidRPr="006C161D">
        <w:rPr>
          <w:rFonts w:ascii="Times New Roman" w:eastAsia="Times New Roman" w:hAnsi="Times New Roman" w:cs="Times New Roman"/>
          <w:color w:val="000000"/>
          <w:szCs w:val="20"/>
          <w:lang w:eastAsia="pt-BR"/>
        </w:rPr>
        <w:t xml:space="preserve"> por objetivo a formação de cadastro de reserva, no caso de exclusão do primeiro colocado da ata, nas hipóteses previstas nos </w:t>
      </w:r>
      <w:hyperlink r:id="rId10" w:anchor="art21" w:history="1">
        <w:proofErr w:type="spellStart"/>
        <w:r w:rsidRPr="006C161D">
          <w:rPr>
            <w:rFonts w:ascii="Times New Roman" w:eastAsia="Times New Roman" w:hAnsi="Times New Roman" w:cs="Times New Roman"/>
            <w:color w:val="0000FF"/>
            <w:u w:val="single"/>
            <w:lang w:eastAsia="pt-BR"/>
          </w:rPr>
          <w:t>arts</w:t>
        </w:r>
        <w:proofErr w:type="spellEnd"/>
        <w:r w:rsidRPr="006C161D">
          <w:rPr>
            <w:rFonts w:ascii="Times New Roman" w:eastAsia="Times New Roman" w:hAnsi="Times New Roman" w:cs="Times New Roman"/>
            <w:color w:val="0000FF"/>
            <w:u w:val="single"/>
            <w:lang w:eastAsia="pt-BR"/>
          </w:rPr>
          <w:t>. 20 e 21 do Decreto Federal nº 7.892/2013</w:t>
        </w:r>
      </w:hyperlink>
      <w:r w:rsidRPr="006C161D">
        <w:rPr>
          <w:rFonts w:ascii="Times New Roman" w:eastAsia="Times New Roman" w:hAnsi="Times New Roman" w:cs="Times New Roman"/>
          <w:color w:val="000000"/>
          <w:szCs w:val="20"/>
          <w:lang w:eastAsia="pt-BR"/>
        </w:rPr>
        <w:t xml:space="preserve">. </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Nas contratações deverá ser respeitada a ordem de classificação dos licitantes registrados na ata de registro de preços; </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Deverá ser divulgada no portal de compras do Governo Federal e ficará disponibilizado durante a vigência da ata, o preço registrado com indicação dos fornecedores;</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O preço, o fornecedor e o item deverão ser publicados em forma de extrato, na imprensa oficial, bem como disponibilizados todos esses dados e ainda a especificação dos produtos ofertados pela empresa no sítio </w:t>
      </w:r>
      <w:hyperlink r:id="rId11" w:history="1">
        <w:r w:rsidRPr="006C161D">
          <w:rPr>
            <w:rFonts w:ascii="Times New Roman" w:eastAsia="Times New Roman" w:hAnsi="Times New Roman" w:cs="Times New Roman"/>
            <w:color w:val="0000FF"/>
            <w:szCs w:val="24"/>
            <w:u w:val="single"/>
            <w:lang w:eastAsia="pt-BR"/>
          </w:rPr>
          <w:t>Sistema Integrado de Patrimônio, Administração e Contratos – SIPAC</w:t>
        </w:r>
      </w:hyperlink>
      <w:r w:rsidRPr="006C161D">
        <w:rPr>
          <w:rFonts w:ascii="Times New Roman" w:eastAsia="Times New Roman" w:hAnsi="Times New Roman" w:cs="Times New Roman"/>
          <w:szCs w:val="24"/>
          <w:lang w:eastAsia="pt-BR"/>
        </w:rPr>
        <w:t>, da UFRN, endereço: http://www.sipac.ufrn.br.</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8" w:name="_Toc475094810"/>
      <w:r w:rsidRPr="006C161D">
        <w:rPr>
          <w:rFonts w:ascii="Times New Roman" w:eastAsia="Times New Roman" w:hAnsi="Times New Roman" w:cs="Times New Roman"/>
          <w:b/>
          <w:smallCaps/>
          <w:szCs w:val="20"/>
          <w:lang w:eastAsia="pt-BR"/>
        </w:rPr>
        <w:t>3 – Das Condições de Fornecimento</w:t>
      </w:r>
      <w:bookmarkEnd w:id="8"/>
    </w:p>
    <w:p w:rsidR="006C161D" w:rsidRPr="006C161D" w:rsidRDefault="006C161D" w:rsidP="006C161D">
      <w:pPr>
        <w:widowControl w:val="0"/>
        <w:numPr>
          <w:ilvl w:val="0"/>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Disposições relativas às Condições de Fornecimento.</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Somente quando o primeiro licitante registrado atingir a totalidade do seu limite de execução dos fornecimentos estabelecidos nesta ata</w:t>
      </w:r>
      <w:proofErr w:type="gramStart"/>
      <w:r w:rsidRPr="006C161D">
        <w:rPr>
          <w:rFonts w:ascii="Times New Roman" w:eastAsia="Times New Roman" w:hAnsi="Times New Roman" w:cs="Times New Roman"/>
          <w:szCs w:val="24"/>
          <w:lang w:eastAsia="pt-BR"/>
        </w:rPr>
        <w:t>, será</w:t>
      </w:r>
      <w:proofErr w:type="gramEnd"/>
      <w:r w:rsidRPr="006C161D">
        <w:rPr>
          <w:rFonts w:ascii="Times New Roman" w:eastAsia="Times New Roman" w:hAnsi="Times New Roman" w:cs="Times New Roman"/>
          <w:szCs w:val="24"/>
          <w:lang w:eastAsia="pt-BR"/>
        </w:rPr>
        <w:t xml:space="preserve"> indicado o segundo e, assim, sucessivamente, podendo ser indicados mais de um ao mesmo tempo, quando o quantitativo do pedido for superior à capacidade do licitante da vez.</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A convocação do proponente pela UFRN, através da Comissão Especial de Registro de Preços, será formalizada e conterá o endereço e o prazo máximo em que o proponente convocado deverá comparecer para retirar o respectivo pedido.</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O proponente que, convocado na forma do subitem anterior, não comparecer, não retirar o pedido no prazo estipulado ou não cumprir as obrigações estabelecidas nesta ata estará sujeito às sanções previstas no presente edital e seus anexos.</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Quando comprovada uma dessas hipóteses, a UFRN poderá indicar o próximo fornecedor a ser destinado o pedido, sem prejuízo da abertura de processo administrativo para aplicação de penalidade.</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A marca ofertada, vencedora da cotação, deverá ser a mesma empregada na realização dos fornecimentos previstos no </w:t>
      </w:r>
      <w:r w:rsidRPr="006C161D">
        <w:rPr>
          <w:rFonts w:ascii="Times New Roman" w:eastAsia="Times New Roman" w:hAnsi="Times New Roman" w:cs="Times New Roman"/>
          <w:b/>
          <w:i/>
          <w:szCs w:val="24"/>
          <w:lang w:eastAsia="pt-BR"/>
        </w:rPr>
        <w:t>Relatório de Itens do Objeto Licitados</w:t>
      </w:r>
      <w:r w:rsidRPr="006C161D">
        <w:rPr>
          <w:rFonts w:ascii="Times New Roman" w:eastAsia="Times New Roman" w:hAnsi="Times New Roman" w:cs="Times New Roman"/>
          <w:szCs w:val="24"/>
          <w:lang w:eastAsia="pt-BR"/>
        </w:rPr>
        <w:t>, anexo do presente edital, vedada a entrega de outra marca, ainda que similar.</w:t>
      </w:r>
    </w:p>
    <w:p w:rsidR="006C161D" w:rsidRPr="006C161D" w:rsidRDefault="006C161D" w:rsidP="006C161D">
      <w:pPr>
        <w:widowControl w:val="0"/>
        <w:numPr>
          <w:ilvl w:val="1"/>
          <w:numId w:val="1"/>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O proponente que não cumprir as obrigações estabelecidas nesta ata estará sujeito às sanções previstas no respectivo edital e seus anexos.</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9" w:name="_Toc445464984"/>
      <w:bookmarkStart w:id="10" w:name="_Toc475094811"/>
      <w:bookmarkStart w:id="11" w:name="_Toc445465021"/>
      <w:r w:rsidRPr="006C161D">
        <w:rPr>
          <w:rFonts w:ascii="Times New Roman" w:eastAsia="Times New Roman" w:hAnsi="Times New Roman" w:cs="Times New Roman"/>
          <w:b/>
          <w:smallCaps/>
          <w:szCs w:val="20"/>
          <w:lang w:eastAsia="pt-BR"/>
        </w:rPr>
        <w:t>4 – Controle e Revisão de Preços</w:t>
      </w:r>
      <w:bookmarkEnd w:id="9"/>
      <w:bookmarkEnd w:id="10"/>
    </w:p>
    <w:p w:rsidR="006C161D" w:rsidRPr="006C161D" w:rsidRDefault="006C161D" w:rsidP="006C161D">
      <w:pPr>
        <w:widowControl w:val="0"/>
        <w:numPr>
          <w:ilvl w:val="0"/>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Disposições relativas ao Controle e Revisão de Preços.</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lastRenderedPageBreak/>
        <w:t xml:space="preserve">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w:t>
      </w:r>
      <w:hyperlink r:id="rId12" w:anchor="art65" w:history="1">
        <w:r w:rsidRPr="006C161D">
          <w:rPr>
            <w:rFonts w:ascii="Times New Roman" w:eastAsia="Times New Roman" w:hAnsi="Times New Roman" w:cs="Times New Roman"/>
            <w:color w:val="0000FF"/>
            <w:szCs w:val="24"/>
            <w:u w:val="single"/>
            <w:lang w:eastAsia="pt-BR"/>
          </w:rPr>
          <w:t>“d” do inciso II do art. 65 da Lei nº 8.666/1993</w:t>
        </w:r>
      </w:hyperlink>
      <w:r w:rsidRPr="006C161D">
        <w:rPr>
          <w:rFonts w:ascii="Times New Roman" w:eastAsia="Times New Roman" w:hAnsi="Times New Roman" w:cs="Times New Roman"/>
          <w:szCs w:val="24"/>
          <w:lang w:eastAsia="pt-BR"/>
        </w:rPr>
        <w:t xml:space="preserve">. </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Mesmo comprovada </w:t>
      </w:r>
      <w:proofErr w:type="gramStart"/>
      <w:r w:rsidRPr="006C161D">
        <w:rPr>
          <w:rFonts w:ascii="Times New Roman" w:eastAsia="Times New Roman" w:hAnsi="Times New Roman" w:cs="Times New Roman"/>
          <w:szCs w:val="24"/>
          <w:lang w:eastAsia="pt-BR"/>
        </w:rPr>
        <w:t>a</w:t>
      </w:r>
      <w:proofErr w:type="gramEnd"/>
      <w:r w:rsidRPr="006C161D">
        <w:rPr>
          <w:rFonts w:ascii="Times New Roman" w:eastAsia="Times New Roman" w:hAnsi="Times New Roman" w:cs="Times New Roman"/>
          <w:szCs w:val="24"/>
          <w:lang w:eastAsia="pt-BR"/>
        </w:rPr>
        <w:t xml:space="preserve"> ocorrência de situação prevista na alínea “d” do Inciso II do art. 65 da </w:t>
      </w:r>
      <w:hyperlink r:id="rId13" w:history="1">
        <w:r w:rsidRPr="006C161D">
          <w:rPr>
            <w:rFonts w:ascii="Times New Roman" w:eastAsia="Times New Roman" w:hAnsi="Times New Roman" w:cs="Times New Roman"/>
            <w:color w:val="0000FF"/>
            <w:szCs w:val="24"/>
            <w:u w:val="single"/>
            <w:lang w:eastAsia="pt-BR"/>
          </w:rPr>
          <w:t>Lei nº 8.666/1993</w:t>
        </w:r>
      </w:hyperlink>
      <w:r w:rsidRPr="006C161D">
        <w:rPr>
          <w:rFonts w:ascii="Times New Roman" w:eastAsia="Times New Roman" w:hAnsi="Times New Roman" w:cs="Times New Roman"/>
          <w:szCs w:val="24"/>
          <w:lang w:eastAsia="pt-BR"/>
        </w:rPr>
        <w:t>, a Administração, se julgar conveniente, poderá optar por cancelar o item da Ata e iniciar outro processo licitatório.</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Quando os preços registrados tornarem-se superiores aos praticados no mercado, por motivo superveniente, a UFRN convocará os fornecedores para negociar a redução dos preços aos valores praticados no mercado.</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Os fornecedores que não aceitarem reduzir seus preços aos valores praticados pelo mercado serão liberados do compromisso assumido, sem aplicação de penalidades.</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A ordem de classificação dos fornecedores que aceitarem reduzir seus preços aos valores de mercado observará a ordem classificação original.</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Quando o preço de mercado tornar-se superior aos preços registrados e o fornecedor não puder cumprir o compromisso, a UFRN poderá:</w:t>
      </w:r>
    </w:p>
    <w:p w:rsidR="006C161D" w:rsidRPr="006C161D" w:rsidRDefault="006C161D" w:rsidP="006C161D">
      <w:pPr>
        <w:widowControl w:val="0"/>
        <w:numPr>
          <w:ilvl w:val="0"/>
          <w:numId w:val="6"/>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liberar</w:t>
      </w:r>
      <w:proofErr w:type="gramEnd"/>
      <w:r w:rsidRPr="006C161D">
        <w:rPr>
          <w:rFonts w:ascii="Times New Roman" w:eastAsia="Times New Roman" w:hAnsi="Times New Roman" w:cs="Times New Roman"/>
          <w:szCs w:val="24"/>
          <w:lang w:eastAsia="pt-BR"/>
        </w:rPr>
        <w:t xml:space="preserve"> o fornecedor do compromisso assumido, caso a comunicação ocorra antes do pedido de fornecimento, e sem aplicação da penalidade se confirmada a veracidade dos motivos e comprovantes apresentados; e (</w:t>
      </w:r>
      <w:hyperlink r:id="rId14" w:anchor="art19" w:history="1">
        <w:r w:rsidRPr="006C161D">
          <w:rPr>
            <w:rFonts w:ascii="Times New Roman" w:eastAsia="Times New Roman" w:hAnsi="Times New Roman" w:cs="Times New Roman"/>
            <w:color w:val="0000FF"/>
            <w:szCs w:val="24"/>
            <w:u w:val="single"/>
            <w:lang w:eastAsia="pt-BR"/>
          </w:rPr>
          <w:t>Dec. nº 7.892/2013, art. 19, I</w:t>
        </w:r>
      </w:hyperlink>
      <w:r w:rsidRPr="006C161D">
        <w:rPr>
          <w:rFonts w:ascii="Times New Roman" w:eastAsia="Times New Roman" w:hAnsi="Times New Roman" w:cs="Times New Roman"/>
          <w:szCs w:val="24"/>
          <w:lang w:eastAsia="pt-BR"/>
        </w:rPr>
        <w:t>)</w:t>
      </w:r>
    </w:p>
    <w:p w:rsidR="006C161D" w:rsidRPr="006C161D" w:rsidRDefault="006C161D" w:rsidP="006C161D">
      <w:pPr>
        <w:widowControl w:val="0"/>
        <w:numPr>
          <w:ilvl w:val="0"/>
          <w:numId w:val="6"/>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convocar</w:t>
      </w:r>
      <w:proofErr w:type="gramEnd"/>
      <w:r w:rsidRPr="006C161D">
        <w:rPr>
          <w:rFonts w:ascii="Times New Roman" w:eastAsia="Times New Roman" w:hAnsi="Times New Roman" w:cs="Times New Roman"/>
          <w:szCs w:val="24"/>
          <w:lang w:eastAsia="pt-BR"/>
        </w:rPr>
        <w:t xml:space="preserve"> os demais fornecedores para assegurar igual oportunidade de negociação. (</w:t>
      </w:r>
      <w:hyperlink r:id="rId15" w:anchor="art19" w:history="1">
        <w:r w:rsidRPr="006C161D">
          <w:rPr>
            <w:rFonts w:ascii="Times New Roman" w:eastAsia="Times New Roman" w:hAnsi="Times New Roman" w:cs="Times New Roman"/>
            <w:color w:val="0000FF"/>
            <w:szCs w:val="24"/>
            <w:u w:val="single"/>
            <w:lang w:eastAsia="pt-BR"/>
          </w:rPr>
          <w:t>Dec. nº 7.892/2013, art. 19, II</w:t>
        </w:r>
      </w:hyperlink>
      <w:r w:rsidRPr="006C161D">
        <w:rPr>
          <w:rFonts w:ascii="Times New Roman" w:eastAsia="Times New Roman" w:hAnsi="Times New Roman" w:cs="Times New Roman"/>
          <w:szCs w:val="24"/>
          <w:lang w:eastAsia="pt-BR"/>
        </w:rPr>
        <w:t>)</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O referido pedido de fornecimento corresponde à Nota de Empenho – NE emitida em favor do fornecedor.</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rsidR="006C161D" w:rsidRPr="006C161D" w:rsidRDefault="006C161D" w:rsidP="006C161D">
      <w:pPr>
        <w:widowControl w:val="0"/>
        <w:numPr>
          <w:ilvl w:val="3"/>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As Notas fiscais devem refletir aquisições compatíveis com os quantitativos fornecidos </w:t>
      </w:r>
      <w:proofErr w:type="spellStart"/>
      <w:r w:rsidRPr="006C161D">
        <w:rPr>
          <w:rFonts w:ascii="Times New Roman" w:eastAsia="Times New Roman" w:hAnsi="Times New Roman" w:cs="Times New Roman"/>
          <w:szCs w:val="24"/>
          <w:lang w:eastAsia="pt-BR"/>
        </w:rPr>
        <w:t>parceladamente</w:t>
      </w:r>
      <w:proofErr w:type="spellEnd"/>
      <w:r w:rsidRPr="006C161D">
        <w:rPr>
          <w:rFonts w:ascii="Times New Roman" w:eastAsia="Times New Roman" w:hAnsi="Times New Roman" w:cs="Times New Roman"/>
          <w:szCs w:val="24"/>
          <w:lang w:eastAsia="pt-BR"/>
        </w:rPr>
        <w:t xml:space="preserve"> à UFRN.</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Não havendo êxito nas negociações, o órgão gerenciador deverá proceder à revogação da presente ata de registro de preços, adotando as medidas cabíveis para obtenção da contratação mais vantajosa. (</w:t>
      </w:r>
      <w:hyperlink r:id="rId16" w:anchor="art19" w:history="1">
        <w:r w:rsidRPr="006C161D">
          <w:rPr>
            <w:rFonts w:ascii="Times New Roman" w:eastAsia="Times New Roman" w:hAnsi="Times New Roman" w:cs="Times New Roman"/>
            <w:color w:val="0000FF"/>
            <w:szCs w:val="24"/>
            <w:u w:val="single"/>
            <w:lang w:eastAsia="pt-BR"/>
          </w:rPr>
          <w:t>Dec. nº 7.892/2013, art. 19, Parágrafo único</w:t>
        </w:r>
      </w:hyperlink>
      <w:proofErr w:type="gramStart"/>
      <w:r w:rsidRPr="006C161D">
        <w:rPr>
          <w:rFonts w:ascii="Times New Roman" w:eastAsia="Times New Roman" w:hAnsi="Times New Roman" w:cs="Times New Roman"/>
          <w:szCs w:val="24"/>
          <w:lang w:eastAsia="pt-BR"/>
        </w:rPr>
        <w:t>)</w:t>
      </w:r>
      <w:proofErr w:type="gramEnd"/>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 </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0"/>
          <w:lang w:eastAsia="pt-BR"/>
        </w:rPr>
      </w:pPr>
      <w:r w:rsidRPr="006C161D">
        <w:rPr>
          <w:rFonts w:ascii="Times New Roman" w:eastAsia="Times New Roman" w:hAnsi="Times New Roman" w:cs="Times New Roman"/>
          <w:szCs w:val="24"/>
          <w:lang w:eastAsia="pt-BR"/>
        </w:rPr>
        <w:t>Na hipótese prevista no item anterior, a contratação dar-se-á pela ordem do registro e na razão dos respectivos limites de fornecimento registrados na presente ata.</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12" w:name="_Toc445370915"/>
      <w:bookmarkStart w:id="13" w:name="_Toc445465022"/>
      <w:bookmarkStart w:id="14" w:name="_Toc475094812"/>
      <w:bookmarkEnd w:id="11"/>
      <w:r w:rsidRPr="006C161D">
        <w:rPr>
          <w:rFonts w:ascii="Times New Roman" w:eastAsia="Times New Roman" w:hAnsi="Times New Roman" w:cs="Times New Roman"/>
          <w:b/>
          <w:smallCaps/>
          <w:szCs w:val="20"/>
          <w:lang w:eastAsia="pt-BR"/>
        </w:rPr>
        <w:t>5 – Da Contratação</w:t>
      </w:r>
      <w:bookmarkEnd w:id="12"/>
      <w:bookmarkEnd w:id="13"/>
      <w:bookmarkEnd w:id="14"/>
    </w:p>
    <w:p w:rsidR="006C161D" w:rsidRPr="006C161D" w:rsidRDefault="006C161D" w:rsidP="006C161D">
      <w:pPr>
        <w:widowControl w:val="0"/>
        <w:numPr>
          <w:ilvl w:val="0"/>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Disposições relativas à Contratação.</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rsidRPr="006C161D">
        <w:rPr>
          <w:rFonts w:ascii="Times New Roman" w:eastAsia="Times New Roman" w:hAnsi="Times New Roman" w:cs="Times New Roman"/>
          <w:szCs w:val="24"/>
          <w:lang w:eastAsia="pt-BR"/>
        </w:rPr>
        <w:t>a</w:t>
      </w:r>
      <w:proofErr w:type="gramEnd"/>
      <w:r w:rsidRPr="006C161D">
        <w:rPr>
          <w:rFonts w:ascii="Times New Roman" w:eastAsia="Times New Roman" w:hAnsi="Times New Roman" w:cs="Times New Roman"/>
          <w:szCs w:val="24"/>
          <w:lang w:eastAsia="pt-BR"/>
        </w:rPr>
        <w:t xml:space="preserve"> preferência na execução, em igualdade de condições.</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15" w:name="_Toc445370916"/>
      <w:bookmarkStart w:id="16" w:name="_Toc445465023"/>
      <w:bookmarkStart w:id="17" w:name="_Toc475094813"/>
      <w:r w:rsidRPr="006C161D">
        <w:rPr>
          <w:rFonts w:ascii="Times New Roman" w:eastAsia="Times New Roman" w:hAnsi="Times New Roman" w:cs="Times New Roman"/>
          <w:b/>
          <w:smallCaps/>
          <w:szCs w:val="20"/>
          <w:lang w:eastAsia="pt-BR"/>
        </w:rPr>
        <w:t>6 – Da Formalização da Contratação</w:t>
      </w:r>
      <w:bookmarkEnd w:id="15"/>
      <w:bookmarkEnd w:id="16"/>
      <w:bookmarkEnd w:id="17"/>
    </w:p>
    <w:p w:rsidR="006C161D" w:rsidRPr="006C161D" w:rsidRDefault="006C161D" w:rsidP="006C161D">
      <w:pPr>
        <w:widowControl w:val="0"/>
        <w:numPr>
          <w:ilvl w:val="0"/>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Disposições relativas à Formalização da Contratação.</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A contratação junto a cada fornecedor registrado será formalizada por intermédio de </w:t>
      </w:r>
      <w:r w:rsidRPr="006C161D">
        <w:rPr>
          <w:rFonts w:ascii="Times New Roman" w:eastAsia="Times New Roman" w:hAnsi="Times New Roman" w:cs="Times New Roman"/>
          <w:szCs w:val="24"/>
          <w:lang w:eastAsia="pt-BR"/>
        </w:rPr>
        <w:lastRenderedPageBreak/>
        <w:t>emissão de Nota de Empenho de despesa.</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18" w:name="_Do_Cancelamento_do"/>
      <w:bookmarkStart w:id="19" w:name="_Toc475094814"/>
      <w:bookmarkEnd w:id="18"/>
      <w:r w:rsidRPr="006C161D">
        <w:rPr>
          <w:rFonts w:ascii="Times New Roman" w:eastAsia="Times New Roman" w:hAnsi="Times New Roman" w:cs="Times New Roman"/>
          <w:b/>
          <w:smallCaps/>
          <w:szCs w:val="20"/>
          <w:lang w:eastAsia="pt-BR"/>
        </w:rPr>
        <w:t xml:space="preserve">7 – </w:t>
      </w:r>
      <w:bookmarkStart w:id="20" w:name="_Toc445370918"/>
      <w:bookmarkStart w:id="21" w:name="_Toc445465025"/>
      <w:r w:rsidRPr="006C161D">
        <w:rPr>
          <w:rFonts w:ascii="Times New Roman" w:eastAsia="Times New Roman" w:hAnsi="Times New Roman" w:cs="Times New Roman"/>
          <w:b/>
          <w:smallCaps/>
          <w:szCs w:val="20"/>
          <w:lang w:eastAsia="pt-BR"/>
        </w:rPr>
        <w:t>Do Cancelamento do Registro de Preços</w:t>
      </w:r>
      <w:bookmarkEnd w:id="19"/>
      <w:bookmarkEnd w:id="20"/>
      <w:bookmarkEnd w:id="21"/>
    </w:p>
    <w:p w:rsidR="006C161D" w:rsidRPr="006C161D" w:rsidRDefault="006C161D" w:rsidP="006C161D">
      <w:pPr>
        <w:widowControl w:val="0"/>
        <w:numPr>
          <w:ilvl w:val="0"/>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Disposições relativas ao Cancelamento do Registro de Preços.</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O cancelamento do registro de preços poderá ocorrer por fato superveniente que prejudique o cumprimento da ARP, decorrente de caso fortuito ou força </w:t>
      </w:r>
      <w:proofErr w:type="gramStart"/>
      <w:r w:rsidRPr="006C161D">
        <w:rPr>
          <w:rFonts w:ascii="Times New Roman" w:eastAsia="Times New Roman" w:hAnsi="Times New Roman" w:cs="Times New Roman"/>
          <w:szCs w:val="24"/>
          <w:lang w:eastAsia="pt-BR"/>
        </w:rPr>
        <w:t>maior, devidamente comprovados e justificados</w:t>
      </w:r>
      <w:proofErr w:type="gramEnd"/>
      <w:r w:rsidRPr="006C161D">
        <w:rPr>
          <w:rFonts w:ascii="Times New Roman" w:eastAsia="Times New Roman" w:hAnsi="Times New Roman" w:cs="Times New Roman"/>
          <w:szCs w:val="24"/>
          <w:lang w:eastAsia="pt-BR"/>
        </w:rPr>
        <w:t>.</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O proponente terá o seu registro de preço cancelado na presente ata, por intermédio de processo administrativo específico, assegurado o direito ao contraditório e à ampla defesa.</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b/>
          <w:i/>
          <w:szCs w:val="24"/>
          <w:lang w:eastAsia="pt-BR"/>
        </w:rPr>
      </w:pPr>
      <w:r w:rsidRPr="006C161D">
        <w:rPr>
          <w:rFonts w:ascii="Times New Roman" w:eastAsia="Times New Roman" w:hAnsi="Times New Roman" w:cs="Times New Roman"/>
          <w:szCs w:val="24"/>
          <w:lang w:eastAsia="pt-BR"/>
        </w:rPr>
        <w:t>O cancelamento a pedido do proponente dar-se-á quando:</w:t>
      </w:r>
    </w:p>
    <w:p w:rsidR="006C161D" w:rsidRPr="006C161D" w:rsidRDefault="006C161D" w:rsidP="006C161D">
      <w:pPr>
        <w:widowControl w:val="0"/>
        <w:numPr>
          <w:ilvl w:val="0"/>
          <w:numId w:val="3"/>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mediante</w:t>
      </w:r>
      <w:proofErr w:type="gramEnd"/>
      <w:r w:rsidRPr="006C161D">
        <w:rPr>
          <w:rFonts w:ascii="Times New Roman" w:eastAsia="Times New Roman" w:hAnsi="Times New Roman" w:cs="Times New Roman"/>
          <w:szCs w:val="24"/>
          <w:lang w:eastAsia="pt-BR"/>
        </w:rP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6C161D" w:rsidRPr="006C161D" w:rsidRDefault="006C161D" w:rsidP="006C161D">
      <w:pPr>
        <w:widowControl w:val="0"/>
        <w:numPr>
          <w:ilvl w:val="0"/>
          <w:numId w:val="3"/>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o</w:t>
      </w:r>
      <w:proofErr w:type="gramEnd"/>
      <w:r w:rsidRPr="006C161D">
        <w:rPr>
          <w:rFonts w:ascii="Times New Roman" w:eastAsia="Times New Roman" w:hAnsi="Times New Roman" w:cs="Times New Roman"/>
          <w:szCs w:val="24"/>
          <w:lang w:eastAsia="pt-BR"/>
        </w:rPr>
        <w:t xml:space="preserve"> preço registrado por ele tornar-se comprovadamente inexequível em função da elevação no mercado dos preços dos insumos que compõem o custo do produto/serviço objeto do presente edital.</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b/>
          <w:i/>
          <w:szCs w:val="24"/>
          <w:lang w:eastAsia="pt-BR"/>
        </w:rPr>
      </w:pPr>
      <w:r w:rsidRPr="006C161D">
        <w:rPr>
          <w:rFonts w:ascii="Times New Roman" w:eastAsia="Times New Roman" w:hAnsi="Times New Roman" w:cs="Times New Roman"/>
          <w:szCs w:val="24"/>
          <w:lang w:eastAsia="pt-BR"/>
        </w:rPr>
        <w:t>O cancelamento unilateral por iniciativa da UFRN dar-se-á quando:</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o</w:t>
      </w:r>
      <w:proofErr w:type="gramEnd"/>
      <w:r w:rsidRPr="006C161D">
        <w:rPr>
          <w:rFonts w:ascii="Times New Roman" w:eastAsia="Times New Roman" w:hAnsi="Times New Roman" w:cs="Times New Roman"/>
          <w:szCs w:val="24"/>
          <w:lang w:eastAsia="pt-BR"/>
        </w:rPr>
        <w:t xml:space="preserve"> proponente não aceitar reduzir o preço registrado, na hipótese deste preço tornar-se superior àqueles praticados no mercado;</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o</w:t>
      </w:r>
      <w:proofErr w:type="gramEnd"/>
      <w:r w:rsidRPr="006C161D">
        <w:rPr>
          <w:rFonts w:ascii="Times New Roman" w:eastAsia="Times New Roman" w:hAnsi="Times New Roman" w:cs="Times New Roman"/>
          <w:szCs w:val="24"/>
          <w:lang w:eastAsia="pt-BR"/>
        </w:rPr>
        <w:t xml:space="preserve"> proponente sofrer sanção prevista nos incisos </w:t>
      </w:r>
      <w:hyperlink r:id="rId17" w:anchor="art87iii" w:history="1">
        <w:r w:rsidRPr="006C161D">
          <w:rPr>
            <w:rFonts w:ascii="Times New Roman" w:eastAsia="Times New Roman" w:hAnsi="Times New Roman" w:cs="Times New Roman"/>
            <w:color w:val="0000FF"/>
            <w:szCs w:val="24"/>
            <w:u w:val="single"/>
            <w:lang w:eastAsia="pt-BR"/>
          </w:rPr>
          <w:t>III ou IV do art. 87 da Lei nº 8.666/1993</w:t>
        </w:r>
      </w:hyperlink>
      <w:r w:rsidRPr="006C161D">
        <w:rPr>
          <w:rFonts w:ascii="Times New Roman" w:eastAsia="Times New Roman" w:hAnsi="Times New Roman" w:cs="Times New Roman"/>
          <w:szCs w:val="24"/>
          <w:lang w:eastAsia="pt-BR"/>
        </w:rPr>
        <w:t xml:space="preserve">, ou no </w:t>
      </w:r>
      <w:hyperlink r:id="rId18" w:anchor="art7" w:history="1">
        <w:r w:rsidRPr="006C161D">
          <w:rPr>
            <w:rFonts w:ascii="Times New Roman" w:eastAsia="Times New Roman" w:hAnsi="Times New Roman" w:cs="Times New Roman"/>
            <w:color w:val="0000FF"/>
            <w:szCs w:val="24"/>
            <w:u w:val="single"/>
            <w:lang w:eastAsia="pt-BR"/>
          </w:rPr>
          <w:t>art. 7º da Lei nº 10.520/2002</w:t>
        </w:r>
      </w:hyperlink>
      <w:r w:rsidRPr="006C161D">
        <w:rPr>
          <w:rFonts w:ascii="Times New Roman" w:eastAsia="Times New Roman" w:hAnsi="Times New Roman" w:cs="Times New Roman"/>
          <w:szCs w:val="24"/>
          <w:lang w:eastAsia="pt-BR"/>
        </w:rPr>
        <w:t>, caso em que o cancelamento será formalizado por despacho da Administração, assegurado o direito ao contraditório e à ampla defesa;</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o</w:t>
      </w:r>
      <w:proofErr w:type="gramEnd"/>
      <w:r w:rsidRPr="006C161D">
        <w:rPr>
          <w:rFonts w:ascii="Times New Roman" w:eastAsia="Times New Roman" w:hAnsi="Times New Roman" w:cs="Times New Roman"/>
          <w:szCs w:val="24"/>
          <w:lang w:eastAsia="pt-BR"/>
        </w:rPr>
        <w:t xml:space="preserve"> proponente registrado perder qualquer condição de habilitação ou qualificação técnica exigida no processo licitatório;</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por</w:t>
      </w:r>
      <w:proofErr w:type="gramEnd"/>
      <w:r w:rsidRPr="006C161D">
        <w:rPr>
          <w:rFonts w:ascii="Times New Roman" w:eastAsia="Times New Roman" w:hAnsi="Times New Roman" w:cs="Times New Roman"/>
          <w:szCs w:val="24"/>
          <w:lang w:eastAsia="pt-BR"/>
        </w:rPr>
        <w:t xml:space="preserve"> razões de interesse público, devidamente motivadas e justificadas;</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o</w:t>
      </w:r>
      <w:proofErr w:type="gramEnd"/>
      <w:r w:rsidRPr="006C161D">
        <w:rPr>
          <w:rFonts w:ascii="Times New Roman" w:eastAsia="Times New Roman" w:hAnsi="Times New Roman" w:cs="Times New Roman"/>
          <w:szCs w:val="24"/>
          <w:lang w:eastAsia="pt-BR"/>
        </w:rPr>
        <w:t xml:space="preserve"> proponente registrado não cumprir as obrigações decorrentes da presente ata, caso em que o cancelamento será formalizado por despacho da Administração, assegurado o direito ao contraditório e à ampla defesa;</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o</w:t>
      </w:r>
      <w:proofErr w:type="gramEnd"/>
      <w:r w:rsidRPr="006C161D">
        <w:rPr>
          <w:rFonts w:ascii="Times New Roman" w:eastAsia="Times New Roman" w:hAnsi="Times New Roman" w:cs="Times New Roman"/>
          <w:szCs w:val="24"/>
          <w:lang w:eastAsia="pt-BR"/>
        </w:rP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o</w:t>
      </w:r>
      <w:proofErr w:type="gramEnd"/>
      <w:r w:rsidRPr="006C161D">
        <w:rPr>
          <w:rFonts w:ascii="Times New Roman" w:eastAsia="Times New Roman" w:hAnsi="Times New Roman" w:cs="Times New Roman"/>
          <w:szCs w:val="24"/>
          <w:lang w:eastAsia="pt-BR"/>
        </w:rPr>
        <w:t xml:space="preserve"> proponente não comparecer ou se recusar a retirar, no prazo estabelecido, os pedidos decorrentes da presente ata;</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caracterizada</w:t>
      </w:r>
      <w:proofErr w:type="gramEnd"/>
      <w:r w:rsidRPr="006C161D">
        <w:rPr>
          <w:rFonts w:ascii="Times New Roman" w:eastAsia="Times New Roman" w:hAnsi="Times New Roman" w:cs="Times New Roman"/>
          <w:szCs w:val="24"/>
          <w:lang w:eastAsia="pt-BR"/>
        </w:rPr>
        <w:t xml:space="preserve"> qualquer hipótese de inexecução total ou parcial das condições estabelecidas na presente ata ou nos pedidos dela decorrentes;</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o</w:t>
      </w:r>
      <w:proofErr w:type="gramEnd"/>
      <w:r w:rsidRPr="006C161D">
        <w:rPr>
          <w:rFonts w:ascii="Times New Roman" w:eastAsia="Times New Roman" w:hAnsi="Times New Roman" w:cs="Times New Roman"/>
          <w:szCs w:val="24"/>
          <w:lang w:eastAsia="pt-BR"/>
        </w:rPr>
        <w:t xml:space="preserve"> proponente deixar de executar total ou parcialmente o contrato relativo ao presente Registro de Preços;</w:t>
      </w:r>
    </w:p>
    <w:p w:rsidR="006C161D" w:rsidRPr="006C161D" w:rsidRDefault="006C161D" w:rsidP="006C161D">
      <w:pPr>
        <w:widowControl w:val="0"/>
        <w:numPr>
          <w:ilvl w:val="0"/>
          <w:numId w:val="4"/>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o</w:t>
      </w:r>
      <w:proofErr w:type="gramEnd"/>
      <w:r w:rsidRPr="006C161D">
        <w:rPr>
          <w:rFonts w:ascii="Times New Roman" w:eastAsia="Times New Roman" w:hAnsi="Times New Roman" w:cs="Times New Roman"/>
          <w:szCs w:val="24"/>
          <w:lang w:eastAsia="pt-BR"/>
        </w:rPr>
        <w:t xml:space="preserve"> proponente der causa à rescisão administrativa da contratação decorrente deste Registro de Preços.</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A comunicação do cancelamento de preços registrados, nos casos previstos no inciso I deste artigo, será efetuada pessoalmente ou por correspondência com Aviso de Recebimento – AR, juntando-se o comprovante aos autos que deram origem a presente ata.</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Em qualquer das hipóteses acima, concluído o processo, a UFRN, através da Comissão Especial de Registro de Preços, fará o devido </w:t>
      </w:r>
      <w:proofErr w:type="spellStart"/>
      <w:r w:rsidRPr="006C161D">
        <w:rPr>
          <w:rFonts w:ascii="Times New Roman" w:eastAsia="Times New Roman" w:hAnsi="Times New Roman" w:cs="Times New Roman"/>
          <w:szCs w:val="24"/>
          <w:lang w:eastAsia="pt-BR"/>
        </w:rPr>
        <w:t>apostilamento</w:t>
      </w:r>
      <w:proofErr w:type="spellEnd"/>
      <w:r w:rsidRPr="006C161D">
        <w:rPr>
          <w:rFonts w:ascii="Times New Roman" w:eastAsia="Times New Roman" w:hAnsi="Times New Roman" w:cs="Times New Roman"/>
          <w:szCs w:val="24"/>
          <w:lang w:eastAsia="pt-BR"/>
        </w:rPr>
        <w:t xml:space="preserve"> na presente ata e </w:t>
      </w:r>
      <w:r w:rsidRPr="006C161D">
        <w:rPr>
          <w:rFonts w:ascii="Times New Roman" w:eastAsia="Times New Roman" w:hAnsi="Times New Roman" w:cs="Times New Roman"/>
          <w:szCs w:val="24"/>
          <w:lang w:eastAsia="pt-BR"/>
        </w:rPr>
        <w:lastRenderedPageBreak/>
        <w:t>informará aos proponentes a nova ordem de registro, convocando os demais licitantes de acordo com a ordem de classificação original.</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b/>
          <w:i/>
          <w:szCs w:val="24"/>
          <w:lang w:eastAsia="pt-BR"/>
        </w:rPr>
      </w:pPr>
      <w:proofErr w:type="gramStart"/>
      <w:r w:rsidRPr="006C161D">
        <w:rPr>
          <w:rFonts w:ascii="Times New Roman" w:eastAsia="Times New Roman" w:hAnsi="Times New Roman" w:cs="Times New Roman"/>
          <w:szCs w:val="24"/>
          <w:lang w:eastAsia="pt-BR"/>
        </w:rPr>
        <w:t>A presente</w:t>
      </w:r>
      <w:proofErr w:type="gramEnd"/>
      <w:r w:rsidRPr="006C161D">
        <w:rPr>
          <w:rFonts w:ascii="Times New Roman" w:eastAsia="Times New Roman" w:hAnsi="Times New Roman" w:cs="Times New Roman"/>
          <w:szCs w:val="24"/>
          <w:lang w:eastAsia="pt-BR"/>
        </w:rPr>
        <w:t xml:space="preserve"> ata será cancelada automaticamente:</w:t>
      </w:r>
    </w:p>
    <w:p w:rsidR="006C161D" w:rsidRPr="006C161D" w:rsidRDefault="006C161D" w:rsidP="006C161D">
      <w:pPr>
        <w:widowControl w:val="0"/>
        <w:numPr>
          <w:ilvl w:val="0"/>
          <w:numId w:val="5"/>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por</w:t>
      </w:r>
      <w:proofErr w:type="gramEnd"/>
      <w:r w:rsidRPr="006C161D">
        <w:rPr>
          <w:rFonts w:ascii="Times New Roman" w:eastAsia="Times New Roman" w:hAnsi="Times New Roman" w:cs="Times New Roman"/>
          <w:szCs w:val="24"/>
          <w:lang w:eastAsia="pt-BR"/>
        </w:rPr>
        <w:t xml:space="preserve"> decurso do prazo de vigência;</w:t>
      </w:r>
    </w:p>
    <w:p w:rsidR="006C161D" w:rsidRPr="006C161D" w:rsidRDefault="006C161D" w:rsidP="006C161D">
      <w:pPr>
        <w:widowControl w:val="0"/>
        <w:numPr>
          <w:ilvl w:val="0"/>
          <w:numId w:val="5"/>
        </w:numPr>
        <w:spacing w:before="160" w:beforeAutospacing="1" w:after="160" w:afterAutospacing="1" w:line="240" w:lineRule="auto"/>
        <w:jc w:val="both"/>
        <w:rPr>
          <w:rFonts w:ascii="Times New Roman" w:eastAsia="Times New Roman" w:hAnsi="Times New Roman" w:cs="Times New Roman"/>
          <w:szCs w:val="24"/>
          <w:lang w:eastAsia="pt-BR"/>
        </w:rPr>
      </w:pPr>
      <w:proofErr w:type="gramStart"/>
      <w:r w:rsidRPr="006C161D">
        <w:rPr>
          <w:rFonts w:ascii="Times New Roman" w:eastAsia="Times New Roman" w:hAnsi="Times New Roman" w:cs="Times New Roman"/>
          <w:szCs w:val="24"/>
          <w:lang w:eastAsia="pt-BR"/>
        </w:rPr>
        <w:t>quando</w:t>
      </w:r>
      <w:proofErr w:type="gramEnd"/>
      <w:r w:rsidRPr="006C161D">
        <w:rPr>
          <w:rFonts w:ascii="Times New Roman" w:eastAsia="Times New Roman" w:hAnsi="Times New Roman" w:cs="Times New Roman"/>
          <w:szCs w:val="24"/>
          <w:lang w:eastAsia="pt-BR"/>
        </w:rPr>
        <w:t xml:space="preserve"> não restarem fornecedores registrados.</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A revogação da presente ata será publicada em forma de extrato no DOU – Seção III.</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22" w:name="_Toc445370919"/>
      <w:bookmarkStart w:id="23" w:name="_Toc445465026"/>
      <w:bookmarkStart w:id="24" w:name="_Toc475094815"/>
      <w:r w:rsidRPr="006C161D">
        <w:rPr>
          <w:rFonts w:ascii="Times New Roman" w:eastAsia="Times New Roman" w:hAnsi="Times New Roman" w:cs="Times New Roman"/>
          <w:b/>
          <w:smallCaps/>
          <w:szCs w:val="20"/>
          <w:lang w:eastAsia="pt-BR"/>
        </w:rPr>
        <w:t>8 – Do Remanejamento</w:t>
      </w:r>
      <w:bookmarkEnd w:id="22"/>
      <w:bookmarkEnd w:id="23"/>
      <w:bookmarkEnd w:id="24"/>
    </w:p>
    <w:p w:rsidR="006C161D" w:rsidRPr="006C161D" w:rsidRDefault="006C161D" w:rsidP="006C161D">
      <w:pPr>
        <w:widowControl w:val="0"/>
        <w:numPr>
          <w:ilvl w:val="0"/>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Disposições relativas ao Remanejamento.</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Na presente </w:t>
      </w:r>
      <w:proofErr w:type="gramStart"/>
      <w:r w:rsidRPr="006C161D">
        <w:rPr>
          <w:rFonts w:ascii="Times New Roman" w:eastAsia="Times New Roman" w:hAnsi="Times New Roman" w:cs="Times New Roman"/>
          <w:szCs w:val="24"/>
          <w:lang w:eastAsia="pt-BR"/>
        </w:rPr>
        <w:t>ata,</w:t>
      </w:r>
      <w:proofErr w:type="gramEnd"/>
      <w:r w:rsidRPr="006C161D">
        <w:rPr>
          <w:rFonts w:ascii="Times New Roman" w:eastAsia="Times New Roman" w:hAnsi="Times New Roman" w:cs="Times New Roman"/>
          <w:szCs w:val="24"/>
          <w:lang w:eastAsia="pt-BR"/>
        </w:rPr>
        <w:t xml:space="preserve"> as quantidades previstas para os itens com preços registrados poderão ser remanejadas pelo órgão gerenciador (UFRN) entre os órgãos participantes e não participantes do procedimento licitatório para registro de preços (</w:t>
      </w:r>
      <w:hyperlink r:id="rId19" w:history="1">
        <w:r w:rsidRPr="006C161D">
          <w:rPr>
            <w:rFonts w:ascii="Times New Roman" w:eastAsia="Times New Roman" w:hAnsi="Times New Roman" w:cs="Times New Roman"/>
            <w:color w:val="0000FF"/>
            <w:szCs w:val="24"/>
            <w:u w:val="single"/>
            <w:lang w:eastAsia="pt-BR"/>
          </w:rPr>
          <w:t>IN da SLTI/MPOG nº 6/2014</w:t>
        </w:r>
      </w:hyperlink>
      <w:r w:rsidRPr="006C161D">
        <w:rPr>
          <w:rFonts w:ascii="Times New Roman" w:eastAsia="Times New Roman" w:hAnsi="Times New Roman" w:cs="Times New Roman"/>
          <w:szCs w:val="24"/>
          <w:lang w:eastAsia="pt-BR"/>
        </w:rPr>
        <w:t>, art. 2º).</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O remanejamento somente poderá ser feito de órgão participante para órgão participante e de órgão participante para órgão </w:t>
      </w:r>
      <w:proofErr w:type="spellStart"/>
      <w:proofErr w:type="gramStart"/>
      <w:r w:rsidRPr="006C161D">
        <w:rPr>
          <w:rFonts w:ascii="Times New Roman" w:eastAsia="Times New Roman" w:hAnsi="Times New Roman" w:cs="Times New Roman"/>
          <w:szCs w:val="24"/>
          <w:lang w:eastAsia="pt-BR"/>
        </w:rPr>
        <w:t>não-participante</w:t>
      </w:r>
      <w:proofErr w:type="spellEnd"/>
      <w:proofErr w:type="gramEnd"/>
      <w:r w:rsidRPr="006C161D">
        <w:rPr>
          <w:rFonts w:ascii="Times New Roman" w:eastAsia="Times New Roman" w:hAnsi="Times New Roman" w:cs="Times New Roman"/>
          <w:szCs w:val="24"/>
          <w:lang w:eastAsia="pt-BR"/>
        </w:rPr>
        <w:t>.</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No caso de remanejamento de órgão participante para órgão não participante, devem ser observados os limites previstos nos </w:t>
      </w:r>
      <w:hyperlink r:id="rId20" w:anchor="art22" w:history="1">
        <w:r w:rsidRPr="006C161D">
          <w:rPr>
            <w:rFonts w:ascii="Times New Roman" w:eastAsia="Times New Roman" w:hAnsi="Times New Roman" w:cs="Times New Roman"/>
            <w:color w:val="0000FF"/>
            <w:szCs w:val="24"/>
            <w:u w:val="single"/>
            <w:lang w:eastAsia="pt-BR"/>
          </w:rPr>
          <w:t>§§ 3º e 4º do art. 22 do Dec. nº 7.892/2013</w:t>
        </w:r>
      </w:hyperlink>
      <w:r w:rsidRPr="006C161D">
        <w:rPr>
          <w:rFonts w:ascii="Times New Roman" w:eastAsia="Times New Roman" w:hAnsi="Times New Roman" w:cs="Times New Roman"/>
          <w:szCs w:val="24"/>
          <w:lang w:eastAsia="pt-BR"/>
        </w:rPr>
        <w:t>.</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Caberá ao órgão gerenciador autorizar o remanejamento solicitado, com a redução do quantitativo inicialmente informado pelo órgão participante, desde que haja prévia anuência do órgão que vier a sofrer redução dos quantitativos informados.</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6C161D" w:rsidRPr="006C161D" w:rsidRDefault="006C161D" w:rsidP="006C161D">
      <w:pPr>
        <w:widowControl w:val="0"/>
        <w:numPr>
          <w:ilvl w:val="2"/>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A Administração poderá utilizar recursos de Tecnologia da Informação na operacionalização do disposto na supracitada Instrução Normativa e automatizar procedimentos de controle e gerenciamento dos atos dos órgãos e entidades envolvidas.</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25" w:name="_Toc475094816"/>
      <w:r w:rsidRPr="006C161D">
        <w:rPr>
          <w:rFonts w:ascii="Times New Roman" w:eastAsia="Times New Roman" w:hAnsi="Times New Roman" w:cs="Times New Roman"/>
          <w:b/>
          <w:smallCaps/>
          <w:szCs w:val="20"/>
          <w:lang w:eastAsia="pt-BR"/>
        </w:rPr>
        <w:t>9 – Das Partes Integrantes</w:t>
      </w:r>
      <w:bookmarkEnd w:id="25"/>
    </w:p>
    <w:p w:rsidR="006C161D" w:rsidRPr="006C161D" w:rsidRDefault="006C161D" w:rsidP="006C161D">
      <w:pPr>
        <w:widowControl w:val="0"/>
        <w:numPr>
          <w:ilvl w:val="0"/>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Disposições relativas às Partes Integrantes.</w:t>
      </w:r>
    </w:p>
    <w:p w:rsidR="006C161D" w:rsidRPr="006C161D" w:rsidRDefault="006C161D" w:rsidP="006C161D">
      <w:pPr>
        <w:widowControl w:val="0"/>
        <w:numPr>
          <w:ilvl w:val="1"/>
          <w:numId w:val="2"/>
        </w:numPr>
        <w:spacing w:before="160" w:beforeAutospacing="1" w:after="160" w:afterAutospacing="1" w:line="240" w:lineRule="auto"/>
        <w:jc w:val="both"/>
        <w:rPr>
          <w:rFonts w:ascii="Times New Roman" w:eastAsia="Times New Roman" w:hAnsi="Times New Roman" w:cs="Times New Roman"/>
          <w:szCs w:val="24"/>
          <w:lang w:eastAsia="pt-BR"/>
        </w:rPr>
      </w:pPr>
      <w:r w:rsidRPr="006C161D">
        <w:rPr>
          <w:rFonts w:ascii="Times New Roman" w:eastAsia="Times New Roman" w:hAnsi="Times New Roman" w:cs="Times New Roman"/>
          <w:szCs w:val="24"/>
          <w:lang w:eastAsia="pt-BR"/>
        </w:rPr>
        <w:t xml:space="preserve">O </w:t>
      </w:r>
      <w:r w:rsidRPr="006C161D">
        <w:rPr>
          <w:rFonts w:ascii="Times New Roman" w:eastAsia="Times New Roman" w:hAnsi="Times New Roman" w:cs="Times New Roman"/>
          <w:b/>
          <w:i/>
          <w:szCs w:val="24"/>
          <w:lang w:eastAsia="pt-BR"/>
        </w:rPr>
        <w:t>Termo de Referência</w:t>
      </w:r>
      <w:r w:rsidRPr="006C161D">
        <w:rPr>
          <w:rFonts w:ascii="Times New Roman" w:eastAsia="Times New Roman" w:hAnsi="Times New Roman" w:cs="Times New Roman"/>
          <w:szCs w:val="24"/>
          <w:lang w:eastAsia="pt-BR"/>
        </w:rPr>
        <w:t xml:space="preserve"> do presente pregão,</w:t>
      </w:r>
      <w:r w:rsidRPr="006C161D">
        <w:rPr>
          <w:rFonts w:ascii="Times New Roman" w:eastAsia="Times New Roman" w:hAnsi="Times New Roman" w:cs="Times New Roman"/>
          <w:color w:val="FF0000"/>
          <w:szCs w:val="24"/>
          <w:lang w:eastAsia="pt-BR"/>
        </w:rPr>
        <w:t xml:space="preserve"> </w:t>
      </w:r>
      <w:r w:rsidRPr="006C161D">
        <w:rPr>
          <w:rFonts w:ascii="Times New Roman" w:eastAsia="Times New Roman" w:hAnsi="Times New Roman" w:cs="Times New Roman"/>
          <w:b/>
          <w:szCs w:val="24"/>
          <w:lang w:eastAsia="pt-BR"/>
        </w:rPr>
        <w:t xml:space="preserve">nº </w:t>
      </w:r>
      <w:r w:rsidRPr="006C161D">
        <w:rPr>
          <w:rFonts w:ascii="Times New Roman" w:eastAsia="Times New Roman" w:hAnsi="Times New Roman" w:cs="Times New Roman"/>
          <w:b/>
          <w:color w:val="FF0000"/>
          <w:szCs w:val="24"/>
          <w:lang w:eastAsia="pt-BR"/>
        </w:rPr>
        <w:t>20/2017</w:t>
      </w:r>
      <w:r w:rsidRPr="006C161D">
        <w:rPr>
          <w:rFonts w:ascii="Times New Roman" w:eastAsia="Times New Roman" w:hAnsi="Times New Roman" w:cs="Times New Roman"/>
          <w:szCs w:val="24"/>
          <w:lang w:eastAsia="pt-BR"/>
        </w:rPr>
        <w:t>, constitui parte integrante da presente ata, sendo, portanto, de cumprimento obrigatório.</w:t>
      </w:r>
    </w:p>
    <w:p w:rsidR="006C161D" w:rsidRPr="006C161D" w:rsidRDefault="006C161D" w:rsidP="006C161D">
      <w:pPr>
        <w:keepNext/>
        <w:widowControl w:val="0"/>
        <w:pBdr>
          <w:bottom w:val="double" w:sz="4" w:space="1" w:color="C00000"/>
        </w:pBdr>
        <w:snapToGrid w:val="0"/>
        <w:spacing w:before="100" w:beforeAutospacing="1" w:after="100" w:afterAutospacing="1" w:line="240" w:lineRule="auto"/>
        <w:outlineLvl w:val="1"/>
        <w:rPr>
          <w:rFonts w:ascii="Times New Roman" w:eastAsia="Times New Roman" w:hAnsi="Times New Roman" w:cs="Times New Roman"/>
          <w:b/>
          <w:smallCaps/>
          <w:szCs w:val="20"/>
          <w:lang w:eastAsia="pt-BR"/>
        </w:rPr>
      </w:pPr>
      <w:bookmarkStart w:id="26" w:name="_Toc475094817"/>
      <w:r w:rsidRPr="006C161D">
        <w:rPr>
          <w:rFonts w:ascii="Times New Roman" w:eastAsia="Times New Roman" w:hAnsi="Times New Roman" w:cs="Times New Roman"/>
          <w:b/>
          <w:smallCaps/>
          <w:szCs w:val="20"/>
          <w:lang w:eastAsia="pt-BR"/>
        </w:rPr>
        <w:lastRenderedPageBreak/>
        <w:t>10 – Do Foro</w:t>
      </w:r>
      <w:bookmarkEnd w:id="26"/>
    </w:p>
    <w:p w:rsidR="006C161D" w:rsidRPr="006C161D" w:rsidRDefault="006C161D" w:rsidP="006C161D">
      <w:pPr>
        <w:keepNext/>
        <w:widowControl w:val="0"/>
        <w:spacing w:before="100" w:beforeAutospacing="1" w:after="100" w:afterAutospacing="1" w:line="240" w:lineRule="auto"/>
        <w:jc w:val="both"/>
        <w:rPr>
          <w:rFonts w:ascii="Times New Roman" w:eastAsia="Times New Roman" w:hAnsi="Times New Roman" w:cs="Arial"/>
          <w:szCs w:val="24"/>
          <w:lang w:eastAsia="pt-BR"/>
        </w:rPr>
      </w:pPr>
      <w:r w:rsidRPr="006C161D">
        <w:rPr>
          <w:rFonts w:ascii="Times New Roman" w:eastAsia="Times New Roman" w:hAnsi="Times New Roman" w:cs="Arial"/>
          <w:b/>
          <w:szCs w:val="24"/>
          <w:lang w:eastAsia="pt-BR"/>
        </w:rPr>
        <w:t xml:space="preserve">10.1 – </w:t>
      </w:r>
      <w:r w:rsidRPr="006C161D">
        <w:rPr>
          <w:rFonts w:ascii="Times New Roman" w:eastAsia="Times New Roman" w:hAnsi="Times New Roman" w:cs="Arial"/>
          <w:szCs w:val="24"/>
          <w:lang w:eastAsia="pt-BR"/>
        </w:rPr>
        <w:t>Fica eleito o foro da Justiça Federal de Primeira Instância – Seção Judiciária do Estado do Rio Grande do Norte</w:t>
      </w:r>
      <w:proofErr w:type="gramStart"/>
      <w:r w:rsidRPr="006C161D">
        <w:rPr>
          <w:rFonts w:ascii="Times New Roman" w:eastAsia="Times New Roman" w:hAnsi="Times New Roman" w:cs="Arial"/>
          <w:szCs w:val="24"/>
          <w:lang w:eastAsia="pt-BR"/>
        </w:rPr>
        <w:t>, para</w:t>
      </w:r>
      <w:proofErr w:type="gramEnd"/>
      <w:r w:rsidRPr="006C161D">
        <w:rPr>
          <w:rFonts w:ascii="Times New Roman" w:eastAsia="Times New Roman" w:hAnsi="Times New Roman" w:cs="Arial"/>
          <w:szCs w:val="24"/>
          <w:lang w:eastAsia="pt-BR"/>
        </w:rPr>
        <w:t xml:space="preserve"> nele dirimirem-se dúvidas e solucionarem-se questões que não encontrem forma de resolução por acordo entre as partes, sendo esse foro irrenunciável pela CONTRATANTE, diante do que dispõe o </w:t>
      </w:r>
      <w:hyperlink r:id="rId21" w:anchor="art109i" w:history="1">
        <w:r w:rsidRPr="006C161D">
          <w:rPr>
            <w:rFonts w:ascii="Times New Roman" w:eastAsia="Times New Roman" w:hAnsi="Times New Roman" w:cs="Arial"/>
            <w:color w:val="0000FF"/>
            <w:szCs w:val="24"/>
            <w:u w:val="single"/>
            <w:lang w:eastAsia="pt-BR"/>
          </w:rPr>
          <w:t>art. 109, inciso I, da Constituição Federal</w:t>
        </w:r>
      </w:hyperlink>
      <w:r w:rsidRPr="006C161D">
        <w:rPr>
          <w:rFonts w:ascii="Times New Roman" w:eastAsia="Times New Roman" w:hAnsi="Times New Roman" w:cs="Arial"/>
          <w:szCs w:val="24"/>
          <w:lang w:eastAsia="pt-BR"/>
        </w:rPr>
        <w:t>.</w:t>
      </w:r>
    </w:p>
    <w:p w:rsidR="006C161D" w:rsidRPr="006C161D" w:rsidRDefault="006C161D" w:rsidP="00DD41A1">
      <w:pPr>
        <w:keepNext/>
        <w:spacing w:before="480" w:after="480" w:line="240" w:lineRule="auto"/>
        <w:rPr>
          <w:rFonts w:ascii="Times New Roman" w:eastAsia="Times New Roman" w:hAnsi="Times New Roman" w:cs="Arial"/>
          <w:b/>
          <w:szCs w:val="20"/>
          <w:lang w:eastAsia="pt-BR"/>
        </w:rPr>
      </w:pPr>
      <w:r w:rsidRPr="006C161D">
        <w:rPr>
          <w:rFonts w:ascii="Times New Roman" w:eastAsia="Times New Roman" w:hAnsi="Times New Roman" w:cs="Arial"/>
          <w:b/>
          <w:szCs w:val="20"/>
          <w:lang w:eastAsia="pt-BR"/>
        </w:rPr>
        <w:t>Comissão Especial</w:t>
      </w:r>
    </w:p>
    <w:p w:rsidR="006C161D" w:rsidRPr="006C161D" w:rsidRDefault="006C161D" w:rsidP="00DD41A1">
      <w:pPr>
        <w:keepNext/>
        <w:spacing w:before="100" w:beforeAutospacing="1" w:after="100" w:afterAutospacing="1" w:line="240" w:lineRule="auto"/>
        <w:rPr>
          <w:rFonts w:ascii="Times New Roman" w:eastAsia="Times New Roman" w:hAnsi="Times New Roman" w:cs="Arial"/>
          <w:szCs w:val="20"/>
          <w:lang w:eastAsia="pt-BR"/>
        </w:rPr>
      </w:pPr>
      <w:proofErr w:type="gramStart"/>
      <w:r w:rsidRPr="006C161D">
        <w:rPr>
          <w:rFonts w:ascii="Times New Roman" w:eastAsia="Times New Roman" w:hAnsi="Times New Roman" w:cs="Arial"/>
          <w:szCs w:val="20"/>
          <w:lang w:eastAsia="pt-BR"/>
        </w:rPr>
        <w:t>...............................................................................................</w:t>
      </w:r>
      <w:proofErr w:type="gramEnd"/>
    </w:p>
    <w:p w:rsidR="006C161D" w:rsidRPr="006C161D" w:rsidRDefault="006C161D" w:rsidP="00DD41A1">
      <w:pPr>
        <w:keepNext/>
        <w:spacing w:before="100" w:beforeAutospacing="1" w:after="100" w:afterAutospacing="1" w:line="240" w:lineRule="auto"/>
        <w:rPr>
          <w:rFonts w:ascii="Times New Roman" w:eastAsia="Times New Roman" w:hAnsi="Times New Roman" w:cs="Arial"/>
          <w:szCs w:val="20"/>
          <w:lang w:eastAsia="pt-BR"/>
        </w:rPr>
      </w:pPr>
      <w:proofErr w:type="gramStart"/>
      <w:r w:rsidRPr="006C161D">
        <w:rPr>
          <w:rFonts w:ascii="Times New Roman" w:eastAsia="Times New Roman" w:hAnsi="Times New Roman" w:cs="Arial"/>
          <w:szCs w:val="20"/>
          <w:lang w:eastAsia="pt-BR"/>
        </w:rPr>
        <w:t>...............................................................................................</w:t>
      </w:r>
      <w:proofErr w:type="gramEnd"/>
    </w:p>
    <w:p w:rsidR="006C161D" w:rsidRPr="006C161D" w:rsidRDefault="006C161D" w:rsidP="00DD41A1">
      <w:pPr>
        <w:keepNext/>
        <w:spacing w:before="100" w:beforeAutospacing="1" w:after="100" w:afterAutospacing="1" w:line="240" w:lineRule="auto"/>
        <w:rPr>
          <w:rFonts w:ascii="Times New Roman" w:eastAsia="Times New Roman" w:hAnsi="Times New Roman" w:cs="Arial"/>
          <w:szCs w:val="20"/>
          <w:lang w:eastAsia="pt-BR"/>
        </w:rPr>
      </w:pPr>
      <w:proofErr w:type="gramStart"/>
      <w:r w:rsidRPr="006C161D">
        <w:rPr>
          <w:rFonts w:ascii="Times New Roman" w:eastAsia="Times New Roman" w:hAnsi="Times New Roman" w:cs="Arial"/>
          <w:szCs w:val="20"/>
          <w:lang w:eastAsia="pt-BR"/>
        </w:rPr>
        <w:t>...............................................................................................</w:t>
      </w:r>
      <w:proofErr w:type="gramEnd"/>
    </w:p>
    <w:p w:rsidR="00DD41A1" w:rsidRDefault="00DD41A1" w:rsidP="00DD41A1">
      <w:pPr>
        <w:keepNext/>
        <w:spacing w:before="480" w:after="480" w:line="240" w:lineRule="auto"/>
        <w:rPr>
          <w:rFonts w:ascii="Times New Roman" w:eastAsia="Times New Roman" w:hAnsi="Times New Roman" w:cs="Arial"/>
          <w:b/>
          <w:szCs w:val="20"/>
          <w:lang w:eastAsia="pt-BR"/>
        </w:rPr>
      </w:pPr>
    </w:p>
    <w:p w:rsidR="00DD41A1" w:rsidRDefault="00DD41A1" w:rsidP="00DD41A1">
      <w:pPr>
        <w:keepNext/>
        <w:spacing w:after="0" w:line="360" w:lineRule="auto"/>
        <w:rPr>
          <w:rFonts w:ascii="Times New Roman" w:eastAsia="Times New Roman" w:hAnsi="Times New Roman" w:cs="Times New Roman"/>
          <w:szCs w:val="24"/>
          <w:lang w:eastAsia="pt-BR"/>
        </w:rPr>
      </w:pPr>
      <w:r>
        <w:rPr>
          <w:rFonts w:ascii="Times New Roman" w:eastAsia="Times New Roman" w:hAnsi="Times New Roman" w:cs="Arial"/>
          <w:b/>
          <w:szCs w:val="20"/>
          <w:lang w:eastAsia="pt-BR"/>
        </w:rPr>
        <w:t xml:space="preserve">Empresa: </w:t>
      </w:r>
      <w:r w:rsidRPr="006C161D">
        <w:rPr>
          <w:rFonts w:ascii="Times New Roman" w:eastAsia="Times New Roman" w:hAnsi="Times New Roman" w:cs="Times New Roman"/>
          <w:szCs w:val="24"/>
          <w:lang w:eastAsia="pt-BR"/>
        </w:rPr>
        <w:t xml:space="preserve">MAXIMUS GESTAO DE MANUTENCAO INDUSTRIAL LTDA </w:t>
      </w:r>
      <w:r>
        <w:rPr>
          <w:rFonts w:ascii="Times New Roman" w:eastAsia="Times New Roman" w:hAnsi="Times New Roman" w:cs="Times New Roman"/>
          <w:szCs w:val="24"/>
          <w:lang w:eastAsia="pt-BR"/>
        </w:rPr>
        <w:t>–</w:t>
      </w:r>
      <w:r w:rsidRPr="006C161D">
        <w:rPr>
          <w:rFonts w:ascii="Times New Roman" w:eastAsia="Times New Roman" w:hAnsi="Times New Roman" w:cs="Times New Roman"/>
          <w:szCs w:val="24"/>
          <w:lang w:eastAsia="pt-BR"/>
        </w:rPr>
        <w:t xml:space="preserve"> ME</w:t>
      </w:r>
    </w:p>
    <w:p w:rsidR="00DD41A1" w:rsidRDefault="00DD41A1" w:rsidP="00DD41A1">
      <w:pPr>
        <w:keepNext/>
        <w:spacing w:after="0" w:line="360" w:lineRule="auto"/>
        <w:rPr>
          <w:rFonts w:ascii="Times New Roman" w:eastAsia="Times New Roman" w:hAnsi="Times New Roman" w:cs="Times New Roman"/>
          <w:szCs w:val="24"/>
          <w:lang w:eastAsia="pt-BR"/>
        </w:rPr>
      </w:pPr>
      <w:r w:rsidRPr="00DD41A1">
        <w:rPr>
          <w:rFonts w:ascii="Calibri" w:eastAsia="Calibri" w:hAnsi="Calibri" w:cs="Times New Roman"/>
          <w:bCs/>
        </w:rPr>
        <w:t>REPRESENTANTE: ______________________________________________________________</w:t>
      </w:r>
    </w:p>
    <w:p w:rsidR="00DD41A1" w:rsidRPr="00DD41A1" w:rsidRDefault="00DD41A1" w:rsidP="00DD41A1">
      <w:pPr>
        <w:keepNext/>
        <w:spacing w:after="0" w:line="360" w:lineRule="auto"/>
        <w:rPr>
          <w:rFonts w:ascii="Times New Roman" w:eastAsia="Times New Roman" w:hAnsi="Times New Roman" w:cs="Times New Roman"/>
          <w:szCs w:val="24"/>
          <w:lang w:eastAsia="pt-BR"/>
        </w:rPr>
      </w:pPr>
      <w:r w:rsidRPr="00DD41A1">
        <w:rPr>
          <w:rFonts w:ascii="Calibri" w:eastAsia="Calibri" w:hAnsi="Calibri" w:cs="Times New Roman"/>
          <w:bCs/>
        </w:rPr>
        <w:t>E-MAIL: _____________________________________FONE/FAX: ________________________</w:t>
      </w:r>
    </w:p>
    <w:p w:rsidR="00ED7DD7" w:rsidRPr="00DD41A1" w:rsidRDefault="00DD41A1" w:rsidP="00DD41A1">
      <w:pPr>
        <w:spacing w:after="0" w:line="360" w:lineRule="auto"/>
        <w:rPr>
          <w:rFonts w:ascii="Calibri" w:eastAsia="Calibri" w:hAnsi="Calibri" w:cs="Times New Roman"/>
        </w:rPr>
      </w:pPr>
      <w:r w:rsidRPr="00DD41A1">
        <w:rPr>
          <w:rFonts w:ascii="Calibri" w:eastAsia="Calibri" w:hAnsi="Calibri" w:cs="Times New Roman"/>
          <w:bCs/>
        </w:rPr>
        <w:t>ASSINATURA: __________________________________________________________________</w:t>
      </w:r>
    </w:p>
    <w:sectPr w:rsidR="00ED7DD7" w:rsidRPr="00DD41A1"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56"/>
    <w:multiLevelType w:val="hybridMultilevel"/>
    <w:tmpl w:val="AD1A408C"/>
    <w:lvl w:ilvl="0" w:tplc="CEB22D82">
      <w:start w:val="1"/>
      <w:numFmt w:val="upperRoman"/>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23B89"/>
    <w:multiLevelType w:val="hybridMultilevel"/>
    <w:tmpl w:val="08B0B5AA"/>
    <w:lvl w:ilvl="0" w:tplc="ACDCFDA4">
      <w:start w:val="1"/>
      <w:numFmt w:val="upperRoman"/>
      <w:suff w:val="space"/>
      <w:lvlText w:val="%1."/>
      <w:lvlJc w:val="left"/>
      <w:pPr>
        <w:ind w:left="567" w:firstLine="0"/>
      </w:pPr>
      <w:rPr>
        <w:rFonts w:hint="default"/>
        <w:b/>
        <w:i w:val="0"/>
        <w:sz w:val="20"/>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FE1933"/>
    <w:multiLevelType w:val="hybridMultilevel"/>
    <w:tmpl w:val="AD1A408C"/>
    <w:lvl w:ilvl="0" w:tplc="CEB22D82">
      <w:start w:val="1"/>
      <w:numFmt w:val="upperRoman"/>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824DD8"/>
    <w:multiLevelType w:val="multilevel"/>
    <w:tmpl w:val="22AC9A80"/>
    <w:lvl w:ilvl="0">
      <w:start w:val="4"/>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252903"/>
    <w:multiLevelType w:val="multilevel"/>
    <w:tmpl w:val="E20EE972"/>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0" w:firstLine="851"/>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967306A"/>
    <w:multiLevelType w:val="hybridMultilevel"/>
    <w:tmpl w:val="AD1A408C"/>
    <w:lvl w:ilvl="0" w:tplc="CEB22D82">
      <w:start w:val="1"/>
      <w:numFmt w:val="upperRoman"/>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161D"/>
    <w:rsid w:val="004C5F07"/>
    <w:rsid w:val="00533F31"/>
    <w:rsid w:val="00543F80"/>
    <w:rsid w:val="006C161D"/>
    <w:rsid w:val="008D74A9"/>
    <w:rsid w:val="00DD41A1"/>
    <w:rsid w:val="00EA19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04024">
      <w:bodyDiv w:val="1"/>
      <w:marLeft w:val="0"/>
      <w:marRight w:val="0"/>
      <w:marTop w:val="0"/>
      <w:marBottom w:val="0"/>
      <w:divBdr>
        <w:top w:val="none" w:sz="0" w:space="0" w:color="auto"/>
        <w:left w:val="none" w:sz="0" w:space="0" w:color="auto"/>
        <w:bottom w:val="none" w:sz="0" w:space="0" w:color="auto"/>
        <w:right w:val="none" w:sz="0" w:space="0" w:color="auto"/>
      </w:divBdr>
    </w:div>
    <w:div w:id="2372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leis/2002/l10520.htm" TargetMode="External"/><Relationship Id="rId3" Type="http://schemas.openxmlformats.org/officeDocument/2006/relationships/styles" Target="styles.xml"/><Relationship Id="rId21" Type="http://schemas.openxmlformats.org/officeDocument/2006/relationships/hyperlink" Target="http://www.planalto.gov.br/ccivil_03/Constituicao/Constituicao.htm" TargetMode="External"/><Relationship Id="rId7" Type="http://schemas.openxmlformats.org/officeDocument/2006/relationships/hyperlink" Target="http://www.planalto.gov.br/ccivil_03/_ato2011-2014/2014/Decreto/D8250.htm" TargetMode="Externa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http://www.planalto.gov.br/ccivil_03/_ato2011-2014/2013/Decreto/D7892.htm" TargetMode="External"/><Relationship Id="rId20" Type="http://schemas.openxmlformats.org/officeDocument/2006/relationships/hyperlink" Target="http://www.planalto.gov.br/ccivil_03/_ato2011-2014/2013/Decreto/D7892.htm" TargetMode="External"/><Relationship Id="rId1" Type="http://schemas.openxmlformats.org/officeDocument/2006/relationships/customXml" Target="../customXml/item1.xml"/><Relationship Id="rId6" Type="http://schemas.openxmlformats.org/officeDocument/2006/relationships/hyperlink" Target="http://www.planalto.gov.br/ccivil_03/_ato2011-2014/2013/Decreto/D7892.htm" TargetMode="External"/><Relationship Id="rId11" Type="http://schemas.openxmlformats.org/officeDocument/2006/relationships/hyperlink" Target="https://sipac.ufrn.br/public/jsp/portal.jsf" TargetMode="External"/><Relationship Id="rId5" Type="http://schemas.openxmlformats.org/officeDocument/2006/relationships/webSettings" Target="webSettings.xml"/><Relationship Id="rId15" Type="http://schemas.openxmlformats.org/officeDocument/2006/relationships/hyperlink" Target="http://www.planalto.gov.br/ccivil_03/_ato2011-2014/2013/Decreto/D7892.htm" TargetMode="External"/><Relationship Id="rId23" Type="http://schemas.openxmlformats.org/officeDocument/2006/relationships/theme" Target="theme/theme1.xml"/><Relationship Id="rId10" Type="http://schemas.openxmlformats.org/officeDocument/2006/relationships/hyperlink" Target="http://www.planalto.gov.br/ccivil_03/_ato2011-2014/2013/Decreto/D7892.htm" TargetMode="External"/><Relationship Id="rId19" Type="http://schemas.openxmlformats.org/officeDocument/2006/relationships/hyperlink" Target="http://www.comprasgovernamentais.gov.br/paginas/instrucoes-normativas/instrucao-normativa-ndeg-6-de-25-de-julho-de-2014"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_ato2011-2014/2013/Decreto/D7892.htm"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5BC12-4735-4F71-B4FF-E9C51793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2549</Words>
  <Characters>13768</Characters>
  <Application>Microsoft Office Word</Application>
  <DocSecurity>0</DocSecurity>
  <Lines>114</Lines>
  <Paragraphs>32</Paragraphs>
  <ScaleCrop>false</ScaleCrop>
  <Company>Hewlett-Packard Company</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2</cp:revision>
  <dcterms:created xsi:type="dcterms:W3CDTF">2017-04-07T11:46:00Z</dcterms:created>
  <dcterms:modified xsi:type="dcterms:W3CDTF">2017-04-07T11:52:00Z</dcterms:modified>
</cp:coreProperties>
</file>