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BA" w:rsidRDefault="001304BA" w:rsidP="001304BA">
      <w:pPr>
        <w:jc w:val="center"/>
      </w:pPr>
      <w:r>
        <w:t>MINISTÉRIO DA EDUCAÇÃO</w:t>
      </w:r>
    </w:p>
    <w:p w:rsidR="001304BA" w:rsidRDefault="001304BA" w:rsidP="001304BA">
      <w:pPr>
        <w:jc w:val="center"/>
      </w:pPr>
      <w:r>
        <w:t>UNIVERSIDADE FEDERAL DO RIO GRANDE DO NORTE</w:t>
      </w:r>
    </w:p>
    <w:p w:rsidR="001304BA" w:rsidRDefault="001304BA" w:rsidP="001304BA">
      <w:pPr>
        <w:jc w:val="center"/>
      </w:pPr>
      <w:r>
        <w:t>PRÓ-REITORIA DE ADMINISTRAÇÃO</w:t>
      </w:r>
    </w:p>
    <w:p w:rsidR="001304BA" w:rsidRDefault="001304BA" w:rsidP="001304BA">
      <w:pPr>
        <w:jc w:val="center"/>
      </w:pPr>
      <w:r>
        <w:t>DIRETORIA DE MATERIAL E PATRIMÔNIO</w:t>
      </w:r>
    </w:p>
    <w:p w:rsidR="001304BA" w:rsidRDefault="001304BA" w:rsidP="001304BA">
      <w:pPr>
        <w:jc w:val="center"/>
      </w:pPr>
      <w:r>
        <w:t>PREGÃO ELETRÔNICO Nº 81/2016 – SISTEMA DE REGISTRO DE PREÇOS</w:t>
      </w:r>
    </w:p>
    <w:p w:rsidR="001304BA" w:rsidRDefault="001304BA" w:rsidP="001304BA">
      <w:pPr>
        <w:jc w:val="center"/>
      </w:pPr>
      <w:r>
        <w:t>PROCESSO ADMINISTRATIVO Nº 23077.060573/2016-70</w:t>
      </w:r>
    </w:p>
    <w:p w:rsidR="001304BA" w:rsidRDefault="001304BA" w:rsidP="001304BA">
      <w:pPr>
        <w:jc w:val="center"/>
      </w:pPr>
      <w:r>
        <w:t>ATA DE REGISTRO DE PREÇOS</w:t>
      </w:r>
    </w:p>
    <w:p w:rsidR="001304BA" w:rsidRDefault="001304BA" w:rsidP="001304BA">
      <w:pPr>
        <w:jc w:val="center"/>
      </w:pPr>
    </w:p>
    <w:p w:rsidR="001304BA" w:rsidRDefault="001304BA" w:rsidP="001304BA">
      <w:pPr>
        <w:jc w:val="both"/>
      </w:pPr>
      <w:r>
        <w:t xml:space="preserve">Aos vinte e oito dias de dezembro do ano de 2016, a Universidade Federal do Rio Grande do Norte, inscrita no CNPJ sob o nº 24.365.710/0001-83, através da Comissão Especial de Registro de Preços designada por meio da Portaria nº 103/2016-PROAD, de 05/08/2016, lavra a presente Ata de Registro de Preços – ARP, referente ao presente pregão eletrônico, nº 81/2016, que tem como objeto a Aquisição de licença de software </w:t>
      </w:r>
      <w:proofErr w:type="spellStart"/>
      <w:r>
        <w:t>anti-spam</w:t>
      </w:r>
      <w:proofErr w:type="spellEnd"/>
      <w:r>
        <w:t xml:space="preserve"> (gateway de e-mail), serviço de implantação, suporte a solução, treinamento e garantia visando à </w:t>
      </w:r>
      <w:proofErr w:type="gramStart"/>
      <w:r>
        <w:t>proteção contra e-mail indesejados aos sistemas de e-mail da Universidade Federal do Rio Grande do Norte</w:t>
      </w:r>
      <w:proofErr w:type="gramEnd"/>
      <w:r>
        <w:t>, conforme especificado de forma detalhada no Termo de Referência e no Relatório de Itens do Objeto Licitados,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1304BA" w:rsidRDefault="001304BA" w:rsidP="001304BA">
      <w:pPr>
        <w:jc w:val="both"/>
      </w:pPr>
      <w:r>
        <w:t>1 – DA VIGÊNCIA</w:t>
      </w:r>
    </w:p>
    <w:p w:rsidR="001304BA" w:rsidRDefault="001304BA" w:rsidP="001304BA">
      <w:pPr>
        <w:jc w:val="both"/>
      </w:pPr>
      <w:r>
        <w:t>1. Disposições relativas à Vigência.</w:t>
      </w:r>
    </w:p>
    <w:p w:rsidR="001304BA" w:rsidRDefault="001304BA" w:rsidP="001304BA">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1304BA" w:rsidRDefault="001304BA" w:rsidP="001304BA">
      <w:pPr>
        <w:jc w:val="both"/>
      </w:pPr>
      <w:r>
        <w:t>1.1.1. Não serão efetuados acréscimos nos quantitativos fixados pela Ata de Registro de Preços, inclusive o acréscimo de que trata o § 1º do art. 65 da Lei nº 8.666/1993.</w:t>
      </w:r>
    </w:p>
    <w:p w:rsidR="001304BA" w:rsidRDefault="001304BA" w:rsidP="001304BA">
      <w:pPr>
        <w:jc w:val="both"/>
      </w:pPr>
      <w:r>
        <w:t>2 – DO REGISTRO DE PREÇOS</w:t>
      </w:r>
    </w:p>
    <w:p w:rsidR="001304BA" w:rsidRDefault="001304BA" w:rsidP="001304BA">
      <w:pPr>
        <w:jc w:val="both"/>
      </w:pPr>
      <w:r>
        <w:t>2. Disposições relativas ao Registro de Preços.</w:t>
      </w:r>
    </w:p>
    <w:p w:rsidR="001304BA" w:rsidRDefault="001304BA" w:rsidP="001304BA">
      <w:pPr>
        <w:jc w:val="both"/>
      </w:pPr>
      <w:r>
        <w:t>2.1. O preço registrado, a quantidade, o fornecedor e as especificações dos itens do objeto ofertados pelas empresas, constantes deste registro de preço, encontram-se contidos nas tabelas abaixo.</w:t>
      </w:r>
    </w:p>
    <w:p w:rsidR="00DA70D5" w:rsidRDefault="00DA70D5" w:rsidP="001304BA">
      <w:pPr>
        <w:jc w:val="both"/>
      </w:pPr>
    </w:p>
    <w:p w:rsidR="001304BA" w:rsidRDefault="001304BA" w:rsidP="001304BA"/>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rPr>
                <w:bCs w:val="0"/>
              </w:rPr>
            </w:pPr>
            <w:r w:rsidRPr="00DA70D5">
              <w:t>QUALITEK TECNOLOGIA LTDA</w:t>
            </w:r>
          </w:p>
        </w:tc>
      </w:tr>
      <w:tr w:rsidR="00DA70D5" w:rsidRPr="00DA70D5" w:rsidTr="00604F20">
        <w:trPr>
          <w:cnfStyle w:val="000000100000"/>
        </w:trPr>
        <w:tc>
          <w:tcPr>
            <w:cnfStyle w:val="001000000000"/>
            <w:tcW w:w="0" w:type="auto"/>
            <w:hideMark/>
          </w:tcPr>
          <w:p w:rsidR="00DA70D5" w:rsidRPr="00DA70D5" w:rsidRDefault="00DA70D5" w:rsidP="00DA70D5">
            <w:pPr>
              <w:jc w:val="center"/>
              <w:rPr>
                <w:bCs w:val="0"/>
              </w:rPr>
            </w:pPr>
            <w:r w:rsidRPr="00DA70D5">
              <w:rPr>
                <w:bCs w:val="0"/>
              </w:rPr>
              <w:t xml:space="preserve">Item: 1 - GRUPO </w:t>
            </w:r>
            <w:proofErr w:type="gramStart"/>
            <w:r w:rsidRPr="00DA70D5">
              <w:rPr>
                <w:bCs w:val="0"/>
              </w:rPr>
              <w:t>1</w:t>
            </w:r>
            <w:proofErr w:type="gramEnd"/>
          </w:p>
        </w:tc>
      </w:tr>
      <w:tr w:rsidR="00DA70D5" w:rsidRPr="00DA70D5" w:rsidTr="00604F20">
        <w:trPr>
          <w:cnfStyle w:val="000000010000"/>
        </w:trPr>
        <w:tc>
          <w:tcPr>
            <w:cnfStyle w:val="001000000000"/>
            <w:tcW w:w="0" w:type="auto"/>
            <w:hideMark/>
          </w:tcPr>
          <w:tbl>
            <w:tblPr>
              <w:tblW w:w="5000" w:type="pct"/>
              <w:tblCellSpacing w:w="0" w:type="dxa"/>
              <w:shd w:val="clear" w:color="auto" w:fill="FFFFFF"/>
              <w:tblCellMar>
                <w:left w:w="0" w:type="dxa"/>
                <w:right w:w="0" w:type="dxa"/>
              </w:tblCellMar>
              <w:tblLook w:val="04A0"/>
            </w:tblPr>
            <w:tblGrid>
              <w:gridCol w:w="4165"/>
              <w:gridCol w:w="4165"/>
            </w:tblGrid>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w:t>
                  </w:r>
                  <w:r w:rsidR="00604F20">
                    <w:rPr>
                      <w:bCs/>
                    </w:rPr>
                    <w:t xml:space="preserve"> </w:t>
                  </w:r>
                  <w:r w:rsidR="00604F20" w:rsidRPr="00604F20">
                    <w:rPr>
                      <w:bCs/>
                    </w:rPr>
                    <w:t>LICENÇA DE SOFTWARE PARA GATEWAY DE EMAIL ATRAVÉS DO SISTEMA DE REGISTRO DE PREÇO (SRP) PELO PERÍODO DE 12 MESES. SOLUÇÃO: BARRACUDA SPAM FIREWALL VX600 COM VIGÊNCIA DE 36 MESES.</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 Complementar: </w:t>
                  </w:r>
                  <w:r w:rsidRPr="00DA70D5">
                    <w:t xml:space="preserve">LICENÇA DE SOFTWARE PARA GATEWAY DE E-MAIL Licença de software para gateway de email para proteção de pelo menos 10000 contas de e-mail: PRÉ-FILTRO: Permitir configurar filtro de vírus (em nuvem) antes da chegada ao ambiente interno; Permitir configurar filtro de </w:t>
                  </w:r>
                  <w:proofErr w:type="spellStart"/>
                  <w:proofErr w:type="gramStart"/>
                  <w:r w:rsidRPr="00DA70D5">
                    <w:t>SPAMs</w:t>
                  </w:r>
                  <w:proofErr w:type="spellEnd"/>
                  <w:proofErr w:type="gramEnd"/>
                  <w:r w:rsidRPr="00DA70D5">
                    <w:t xml:space="preserve"> por reputação antes da chegada ao ambiente (na nuvem); Permitir configurar filtro de </w:t>
                  </w:r>
                  <w:proofErr w:type="spellStart"/>
                  <w:r w:rsidRPr="00DA70D5">
                    <w:t>SPAMs</w:t>
                  </w:r>
                  <w:proofErr w:type="spellEnd"/>
                  <w:r w:rsidRPr="00DA70D5">
                    <w:t xml:space="preserve"> por característica (heurística) antes da chegada ao ambiente (na nuvem); Permitir balanceamento de carga (</w:t>
                  </w:r>
                  <w:proofErr w:type="spellStart"/>
                  <w:r w:rsidRPr="00DA70D5">
                    <w:t>Load</w:t>
                  </w:r>
                  <w:proofErr w:type="spellEnd"/>
                  <w:r w:rsidRPr="00DA70D5">
                    <w:t xml:space="preserve"> Balance) para o mesmo domínio; Possui gerenciamento de configurações em nuvem de forma integrada em uma única console de gerenciamento, interna e externa ao ambiente; </w:t>
                  </w:r>
                  <w:proofErr w:type="spellStart"/>
                  <w:r w:rsidRPr="00DA70D5">
                    <w:t>SPAM|PHISHING</w:t>
                  </w:r>
                  <w:proofErr w:type="spellEnd"/>
                  <w:r w:rsidRPr="00DA70D5">
                    <w:t xml:space="preserve">: Bloqueio de servidores </w:t>
                  </w:r>
                  <w:proofErr w:type="spellStart"/>
                  <w:r w:rsidRPr="00DA70D5">
                    <w:t>spammers</w:t>
                  </w:r>
                  <w:proofErr w:type="spellEnd"/>
                  <w:r w:rsidRPr="00DA70D5">
                    <w:t xml:space="preserve"> através da metodologia conhecida por </w:t>
                  </w:r>
                  <w:proofErr w:type="spellStart"/>
                  <w:r w:rsidRPr="00DA70D5">
                    <w:t>Domain</w:t>
                  </w:r>
                  <w:proofErr w:type="spellEnd"/>
                  <w:r w:rsidRPr="00DA70D5">
                    <w:t xml:space="preserve"> Keys </w:t>
                  </w:r>
                  <w:proofErr w:type="spellStart"/>
                  <w:r w:rsidRPr="00DA70D5">
                    <w:t>Identified</w:t>
                  </w:r>
                  <w:proofErr w:type="spellEnd"/>
                  <w:r w:rsidRPr="00DA70D5">
                    <w:t xml:space="preserve"> </w:t>
                  </w:r>
                  <w:proofErr w:type="spellStart"/>
                  <w:r w:rsidRPr="00DA70D5">
                    <w:t>Mail</w:t>
                  </w:r>
                  <w:proofErr w:type="spellEnd"/>
                  <w:r w:rsidRPr="00DA70D5">
                    <w:t xml:space="preserve"> (DKIM); Deverá fazer listas de exceções para domínios utilizando-se de DKIM; Possuir a detecção de </w:t>
                  </w:r>
                  <w:proofErr w:type="spellStart"/>
                  <w:r w:rsidRPr="00DA70D5">
                    <w:t>SPAMs</w:t>
                  </w:r>
                  <w:proofErr w:type="spellEnd"/>
                  <w:r w:rsidRPr="00DA70D5">
                    <w:t xml:space="preserve"> utilizando tecnologia heurística; Possuir configurações de sensibilidade na detecção de SPAM s, no mínimo em 4 níveis; Permitir a criação de White e Black </w:t>
                  </w:r>
                  <w:proofErr w:type="spellStart"/>
                  <w:r w:rsidRPr="00DA70D5">
                    <w:t>Lists</w:t>
                  </w:r>
                  <w:proofErr w:type="spellEnd"/>
                  <w:r w:rsidRPr="00DA70D5">
                    <w:t xml:space="preserve"> para detecção de </w:t>
                  </w:r>
                  <w:proofErr w:type="spellStart"/>
                  <w:r w:rsidRPr="00DA70D5">
                    <w:t>SPAMs</w:t>
                  </w:r>
                  <w:proofErr w:type="spellEnd"/>
                  <w:r w:rsidRPr="00DA70D5">
                    <w:t xml:space="preserve">; Possuir proteção contra </w:t>
                  </w:r>
                  <w:proofErr w:type="spellStart"/>
                  <w:r w:rsidRPr="00DA70D5">
                    <w:t>Phishings</w:t>
                  </w:r>
                  <w:proofErr w:type="spellEnd"/>
                  <w:r w:rsidRPr="00DA70D5">
                    <w:t>; Possuir proteção inteligente contra ataques de Engenharia Social;(</w:t>
                  </w:r>
                  <w:proofErr w:type="spellStart"/>
                  <w:r w:rsidRPr="00DA70D5">
                    <w:t>dmp</w:t>
                  </w:r>
                  <w:proofErr w:type="spellEnd"/>
                  <w:r w:rsidRPr="00DA70D5">
                    <w:t>-3993000000075).demais especificações encontram-se no edital.</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Tratamento Diferenciado: </w:t>
                  </w:r>
                  <w:r w:rsidRPr="00DA70D5">
                    <w:t>-</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Aplicabilidade Margem de Preferência: </w:t>
                  </w:r>
                  <w:r w:rsidRPr="00DA70D5">
                    <w:t>Não</w:t>
                  </w:r>
                </w:p>
              </w:tc>
            </w:tr>
            <w:tr w:rsidR="00DA70D5" w:rsidRPr="00DA70D5">
              <w:trPr>
                <w:tblCellSpacing w:w="0" w:type="dxa"/>
              </w:trPr>
              <w:tc>
                <w:tcPr>
                  <w:tcW w:w="2500" w:type="pct"/>
                  <w:shd w:val="clear" w:color="auto" w:fill="FFFFFF"/>
                  <w:vAlign w:val="center"/>
                  <w:hideMark/>
                </w:tcPr>
                <w:p w:rsidR="00DA70D5" w:rsidRPr="00DA70D5" w:rsidRDefault="00DA70D5" w:rsidP="00604F20">
                  <w:pPr>
                    <w:spacing w:after="0"/>
                  </w:pPr>
                  <w:r w:rsidRPr="00DA70D5">
                    <w:rPr>
                      <w:bCs/>
                    </w:rPr>
                    <w:t>Quantidade: </w:t>
                  </w:r>
                  <w:proofErr w:type="gramStart"/>
                  <w:r w:rsidRPr="00DA70D5">
                    <w:t>2</w:t>
                  </w:r>
                  <w:proofErr w:type="gramEnd"/>
                </w:p>
              </w:tc>
              <w:tc>
                <w:tcPr>
                  <w:tcW w:w="2500" w:type="pct"/>
                  <w:shd w:val="clear" w:color="auto" w:fill="FFFFFF"/>
                  <w:vAlign w:val="center"/>
                  <w:hideMark/>
                </w:tcPr>
                <w:p w:rsidR="00DA70D5" w:rsidRPr="00DA70D5" w:rsidRDefault="00DA70D5" w:rsidP="00604F20">
                  <w:pPr>
                    <w:spacing w:after="0"/>
                  </w:pPr>
                  <w:r w:rsidRPr="00DA70D5">
                    <w:rPr>
                      <w:bCs/>
                    </w:rPr>
                    <w:t>Unidade de fornecimento: </w:t>
                  </w:r>
                  <w:r w:rsidRPr="00DA70D5">
                    <w:t>SERVIÇO</w:t>
                  </w:r>
                </w:p>
              </w:tc>
            </w:tr>
            <w:tr w:rsidR="00DA70D5" w:rsidRPr="00DA70D5">
              <w:trPr>
                <w:tblCellSpacing w:w="0" w:type="dxa"/>
              </w:trPr>
              <w:tc>
                <w:tcPr>
                  <w:tcW w:w="0" w:type="auto"/>
                  <w:shd w:val="clear" w:color="auto" w:fill="FFFFFF"/>
                  <w:vAlign w:val="center"/>
                  <w:hideMark/>
                </w:tcPr>
                <w:p w:rsidR="00DA70D5" w:rsidRPr="00DA70D5" w:rsidRDefault="00DA70D5" w:rsidP="00604F20">
                  <w:pPr>
                    <w:spacing w:after="0"/>
                  </w:pPr>
                  <w:r w:rsidRPr="00DA70D5">
                    <w:rPr>
                      <w:bCs/>
                    </w:rPr>
                    <w:t>Valor estimado: R$ </w:t>
                  </w:r>
                  <w:r w:rsidRPr="00DA70D5">
                    <w:t>950.960,6900</w:t>
                  </w:r>
                </w:p>
              </w:tc>
              <w:tc>
                <w:tcPr>
                  <w:tcW w:w="0" w:type="auto"/>
                  <w:shd w:val="clear" w:color="auto" w:fill="FFFFFF"/>
                  <w:vAlign w:val="center"/>
                  <w:hideMark/>
                </w:tcPr>
                <w:p w:rsidR="00DA70D5" w:rsidRPr="00DA70D5" w:rsidRDefault="00DA70D5" w:rsidP="00604F20">
                  <w:pPr>
                    <w:spacing w:after="0"/>
                  </w:pPr>
                  <w:r w:rsidRPr="00DA70D5">
                    <w:rPr>
                      <w:bCs/>
                    </w:rPr>
                    <w:t>Situação: </w:t>
                  </w:r>
                  <w:r w:rsidRPr="00DA70D5">
                    <w:t>Aceito e Habilitado</w:t>
                  </w:r>
                </w:p>
              </w:tc>
            </w:tr>
          </w:tbl>
          <w:p w:rsidR="00DA70D5" w:rsidRPr="00DA70D5" w:rsidRDefault="00DA70D5" w:rsidP="00604F20"/>
        </w:tc>
      </w:tr>
    </w:tbl>
    <w:p w:rsidR="00DA70D5" w:rsidRPr="00DA70D5" w:rsidRDefault="00DA70D5" w:rsidP="00DA70D5">
      <w:pPr>
        <w:spacing w:after="0"/>
        <w:jc w:val="center"/>
        <w:rPr>
          <w:vanish/>
        </w:rPr>
      </w:pPr>
    </w:p>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pPr>
            <w:r w:rsidRPr="00DA70D5">
              <w:br/>
            </w:r>
            <w:r w:rsidR="00604F20">
              <w:rPr>
                <w:bCs w:val="0"/>
              </w:rPr>
              <w:t xml:space="preserve">Aceito para: </w:t>
            </w:r>
            <w:r w:rsidRPr="00DA70D5">
              <w:t>QUALITEK TECNOLOGIA LTDA - EPP</w:t>
            </w:r>
            <w:r w:rsidRPr="00DA70D5">
              <w:rPr>
                <w:bCs w:val="0"/>
              </w:rPr>
              <w:t>, pelo melhor lance de</w:t>
            </w:r>
            <w:r w:rsidRPr="00DA70D5">
              <w:t> R$ 329.000,0000 </w:t>
            </w:r>
            <w:r w:rsidRPr="00DA70D5">
              <w:rPr>
                <w:bCs w:val="0"/>
              </w:rPr>
              <w:t>e a quantidade de </w:t>
            </w:r>
            <w:proofErr w:type="gramStart"/>
            <w:r w:rsidRPr="00DA70D5">
              <w:t>2</w:t>
            </w:r>
            <w:proofErr w:type="gramEnd"/>
            <w:r w:rsidRPr="00DA70D5">
              <w:t> </w:t>
            </w:r>
            <w:r w:rsidRPr="00DA70D5">
              <w:rPr>
                <w:bCs w:val="0"/>
              </w:rPr>
              <w:t>SERVIÇO</w:t>
            </w:r>
            <w:r w:rsidRPr="00DA70D5">
              <w:t> .</w:t>
            </w:r>
          </w:p>
        </w:tc>
      </w:tr>
    </w:tbl>
    <w:p w:rsidR="00DA70D5" w:rsidRPr="00DA70D5" w:rsidRDefault="00DA70D5" w:rsidP="00DA70D5">
      <w:pPr>
        <w:spacing w:after="0"/>
        <w:jc w:val="center"/>
      </w:pPr>
    </w:p>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rPr>
                <w:bCs w:val="0"/>
              </w:rPr>
            </w:pPr>
            <w:r w:rsidRPr="00DA70D5">
              <w:rPr>
                <w:bCs w:val="0"/>
              </w:rPr>
              <w:t xml:space="preserve">Item: 2 - GRUPO </w:t>
            </w:r>
            <w:proofErr w:type="gramStart"/>
            <w:r w:rsidRPr="00DA70D5">
              <w:rPr>
                <w:bCs w:val="0"/>
              </w:rPr>
              <w:t>1</w:t>
            </w:r>
            <w:proofErr w:type="gramEnd"/>
          </w:p>
        </w:tc>
      </w:tr>
      <w:tr w:rsidR="00DA70D5" w:rsidRPr="00DA70D5" w:rsidTr="00604F20">
        <w:trPr>
          <w:cnfStyle w:val="000000100000"/>
        </w:trPr>
        <w:tc>
          <w:tcPr>
            <w:cnfStyle w:val="001000000000"/>
            <w:tcW w:w="0" w:type="auto"/>
            <w:hideMark/>
          </w:tcPr>
          <w:tbl>
            <w:tblPr>
              <w:tblW w:w="5000" w:type="pct"/>
              <w:tblCellSpacing w:w="0" w:type="dxa"/>
              <w:shd w:val="clear" w:color="auto" w:fill="FFFFFF"/>
              <w:tblCellMar>
                <w:left w:w="0" w:type="dxa"/>
                <w:right w:w="0" w:type="dxa"/>
              </w:tblCellMar>
              <w:tblLook w:val="04A0"/>
            </w:tblPr>
            <w:tblGrid>
              <w:gridCol w:w="4165"/>
              <w:gridCol w:w="4165"/>
            </w:tblGrid>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w:t>
                  </w:r>
                  <w:r w:rsidR="00604F20">
                    <w:rPr>
                      <w:bCs/>
                    </w:rPr>
                    <w:t xml:space="preserve"> </w:t>
                  </w:r>
                  <w:r w:rsidR="00604F20" w:rsidRPr="00604F20">
                    <w:rPr>
                      <w:bCs/>
                    </w:rPr>
                    <w:t>SERVIÇOS DE INSTALAÇÃO/CONFIGURAÇÃO PARA SOLUÇÃO DE GATEWAY DE EMAIL.</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 Complementar: </w:t>
                  </w:r>
                  <w:r w:rsidRPr="00DA70D5">
                    <w:t>SERVIÇOS DE INSTALAÇÃO/CONFIGURAÇÃO PARA SOLUÇÃO DE GATEWAY DE EMAIL 1.1. O Serviço de Instalação/Configuração/customização deve fornecer serviços profissionais, executados por especialistas com base nas melhores práticas de mercado, de forma a entregar a solução em perfeito funcionamento da solução de gateway de e-mail contratada. 1.2. Produtos a serem entregues: Suíte de Filtro de Mensagens Externas plenamente em funcionamento; Manual de Instalação, mostrando como o software foi instalado, suas configurações e customizações realizadas. (</w:t>
                  </w:r>
                  <w:proofErr w:type="spellStart"/>
                  <w:r w:rsidRPr="00DA70D5">
                    <w:t>dmp</w:t>
                  </w:r>
                  <w:proofErr w:type="spellEnd"/>
                  <w:r w:rsidRPr="00DA70D5">
                    <w:t>-3957000000120).</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Tratamento Diferenciado: </w:t>
                  </w:r>
                  <w:r w:rsidRPr="00DA70D5">
                    <w:t>-</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Aplicabilidade Margem de Preferência: </w:t>
                  </w:r>
                  <w:r w:rsidRPr="00DA70D5">
                    <w:t>Não</w:t>
                  </w:r>
                </w:p>
              </w:tc>
            </w:tr>
            <w:tr w:rsidR="00DA70D5" w:rsidRPr="00DA70D5">
              <w:trPr>
                <w:tblCellSpacing w:w="0" w:type="dxa"/>
              </w:trPr>
              <w:tc>
                <w:tcPr>
                  <w:tcW w:w="2500" w:type="pct"/>
                  <w:shd w:val="clear" w:color="auto" w:fill="FFFFFF"/>
                  <w:vAlign w:val="center"/>
                  <w:hideMark/>
                </w:tcPr>
                <w:p w:rsidR="00DA70D5" w:rsidRPr="00DA70D5" w:rsidRDefault="00DA70D5" w:rsidP="00604F20">
                  <w:pPr>
                    <w:spacing w:after="0"/>
                  </w:pPr>
                  <w:r w:rsidRPr="00DA70D5">
                    <w:rPr>
                      <w:bCs/>
                    </w:rPr>
                    <w:t>Quantidade: </w:t>
                  </w:r>
                  <w:proofErr w:type="gramStart"/>
                  <w:r w:rsidRPr="00DA70D5">
                    <w:t>1</w:t>
                  </w:r>
                  <w:proofErr w:type="gramEnd"/>
                </w:p>
              </w:tc>
              <w:tc>
                <w:tcPr>
                  <w:tcW w:w="2500" w:type="pct"/>
                  <w:shd w:val="clear" w:color="auto" w:fill="FFFFFF"/>
                  <w:vAlign w:val="center"/>
                  <w:hideMark/>
                </w:tcPr>
                <w:p w:rsidR="00DA70D5" w:rsidRPr="00DA70D5" w:rsidRDefault="00DA70D5" w:rsidP="00604F20">
                  <w:pPr>
                    <w:spacing w:after="0"/>
                  </w:pPr>
                  <w:r w:rsidRPr="00DA70D5">
                    <w:rPr>
                      <w:bCs/>
                    </w:rPr>
                    <w:t>Unidade de fornecimento: </w:t>
                  </w:r>
                  <w:r w:rsidRPr="00DA70D5">
                    <w:t>SERVIÇO</w:t>
                  </w:r>
                </w:p>
              </w:tc>
            </w:tr>
            <w:tr w:rsidR="00DA70D5" w:rsidRPr="00DA70D5">
              <w:trPr>
                <w:tblCellSpacing w:w="0" w:type="dxa"/>
              </w:trPr>
              <w:tc>
                <w:tcPr>
                  <w:tcW w:w="0" w:type="auto"/>
                  <w:shd w:val="clear" w:color="auto" w:fill="FFFFFF"/>
                  <w:vAlign w:val="center"/>
                  <w:hideMark/>
                </w:tcPr>
                <w:p w:rsidR="00DA70D5" w:rsidRPr="00DA70D5" w:rsidRDefault="00DA70D5" w:rsidP="00604F20">
                  <w:pPr>
                    <w:spacing w:after="0"/>
                  </w:pPr>
                  <w:r w:rsidRPr="00DA70D5">
                    <w:rPr>
                      <w:bCs/>
                    </w:rPr>
                    <w:t>Valor estimado: R$ </w:t>
                  </w:r>
                  <w:r w:rsidRPr="00DA70D5">
                    <w:t>60.000,0000</w:t>
                  </w:r>
                </w:p>
              </w:tc>
              <w:tc>
                <w:tcPr>
                  <w:tcW w:w="0" w:type="auto"/>
                  <w:shd w:val="clear" w:color="auto" w:fill="FFFFFF"/>
                  <w:vAlign w:val="center"/>
                  <w:hideMark/>
                </w:tcPr>
                <w:p w:rsidR="00DA70D5" w:rsidRPr="00DA70D5" w:rsidRDefault="00DA70D5" w:rsidP="00604F20">
                  <w:pPr>
                    <w:spacing w:after="0"/>
                  </w:pPr>
                  <w:r w:rsidRPr="00DA70D5">
                    <w:rPr>
                      <w:bCs/>
                    </w:rPr>
                    <w:t>Situação: </w:t>
                  </w:r>
                  <w:r w:rsidRPr="00DA70D5">
                    <w:t>Aceito e Habilitado</w:t>
                  </w:r>
                </w:p>
              </w:tc>
            </w:tr>
          </w:tbl>
          <w:p w:rsidR="00DA70D5" w:rsidRPr="00DA70D5" w:rsidRDefault="00DA70D5" w:rsidP="00604F20"/>
        </w:tc>
      </w:tr>
    </w:tbl>
    <w:p w:rsidR="00DA70D5" w:rsidRPr="00DA70D5" w:rsidRDefault="00DA70D5" w:rsidP="00DA70D5">
      <w:pPr>
        <w:spacing w:after="0"/>
        <w:jc w:val="center"/>
        <w:rPr>
          <w:vanish/>
        </w:rPr>
      </w:pPr>
    </w:p>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pPr>
            <w:r w:rsidRPr="00DA70D5">
              <w:lastRenderedPageBreak/>
              <w:br/>
            </w:r>
            <w:r w:rsidRPr="00DA70D5">
              <w:rPr>
                <w:bCs w:val="0"/>
              </w:rPr>
              <w:t>Aceito para: </w:t>
            </w:r>
            <w:r w:rsidRPr="00DA70D5">
              <w:t>QUALITEK TECNOLOGIA LTDA - EPP</w:t>
            </w:r>
            <w:r w:rsidRPr="00DA70D5">
              <w:rPr>
                <w:bCs w:val="0"/>
              </w:rPr>
              <w:t>, pelo melhor lance de</w:t>
            </w:r>
            <w:r w:rsidRPr="00DA70D5">
              <w:t> R$ 20.000,0000 </w:t>
            </w:r>
            <w:r w:rsidRPr="00DA70D5">
              <w:rPr>
                <w:bCs w:val="0"/>
              </w:rPr>
              <w:t>e a quantidade de </w:t>
            </w:r>
            <w:proofErr w:type="gramStart"/>
            <w:r w:rsidRPr="00DA70D5">
              <w:t>1</w:t>
            </w:r>
            <w:proofErr w:type="gramEnd"/>
            <w:r w:rsidRPr="00DA70D5">
              <w:t> </w:t>
            </w:r>
            <w:r w:rsidRPr="00DA70D5">
              <w:rPr>
                <w:bCs w:val="0"/>
              </w:rPr>
              <w:t>SERVIÇO</w:t>
            </w:r>
            <w:r w:rsidRPr="00DA70D5">
              <w:t> .</w:t>
            </w:r>
          </w:p>
        </w:tc>
      </w:tr>
    </w:tbl>
    <w:p w:rsidR="00DA70D5" w:rsidRPr="00DA70D5" w:rsidRDefault="00DA70D5" w:rsidP="00DA70D5">
      <w:pPr>
        <w:spacing w:after="0"/>
        <w:jc w:val="center"/>
      </w:pPr>
    </w:p>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rPr>
                <w:bCs w:val="0"/>
              </w:rPr>
            </w:pPr>
            <w:r w:rsidRPr="00DA70D5">
              <w:rPr>
                <w:bCs w:val="0"/>
              </w:rPr>
              <w:t xml:space="preserve">Item: 3 - GRUPO </w:t>
            </w:r>
            <w:proofErr w:type="gramStart"/>
            <w:r w:rsidRPr="00DA70D5">
              <w:rPr>
                <w:bCs w:val="0"/>
              </w:rPr>
              <w:t>1</w:t>
            </w:r>
            <w:proofErr w:type="gramEnd"/>
          </w:p>
        </w:tc>
      </w:tr>
      <w:tr w:rsidR="00DA70D5" w:rsidRPr="00DA70D5" w:rsidTr="00604F20">
        <w:trPr>
          <w:cnfStyle w:val="000000100000"/>
        </w:trPr>
        <w:tc>
          <w:tcPr>
            <w:cnfStyle w:val="001000000000"/>
            <w:tcW w:w="0" w:type="auto"/>
            <w:hideMark/>
          </w:tcPr>
          <w:tbl>
            <w:tblPr>
              <w:tblW w:w="5000" w:type="pct"/>
              <w:tblCellSpacing w:w="0" w:type="dxa"/>
              <w:shd w:val="clear" w:color="auto" w:fill="FFFFFF"/>
              <w:tblCellMar>
                <w:left w:w="0" w:type="dxa"/>
                <w:right w:w="0" w:type="dxa"/>
              </w:tblCellMar>
              <w:tblLook w:val="04A0"/>
            </w:tblPr>
            <w:tblGrid>
              <w:gridCol w:w="4165"/>
              <w:gridCol w:w="4165"/>
            </w:tblGrid>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w:t>
                  </w:r>
                  <w:r w:rsidR="00604F20">
                    <w:rPr>
                      <w:bCs/>
                    </w:rPr>
                    <w:t xml:space="preserve">: </w:t>
                  </w:r>
                  <w:r w:rsidR="00604F20" w:rsidRPr="00604F20">
                    <w:rPr>
                      <w:bCs/>
                    </w:rPr>
                    <w:t>SERVIÇOS DE TRANSFERÊNCIA DE TECNOLOGIA PARA SOLUÇÃO DE GATEWAY DE EMAIL.</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 Complementar: </w:t>
                  </w:r>
                  <w:r w:rsidRPr="00DA70D5">
                    <w:t xml:space="preserve">SERVIÇOS DE TRANSFERENCIA DE TECNOLOGIA PARA SOLUÇÃO DE GATEWAY DE EMAIL 1.1. Capacitar os participantes a realizar atividades de configuração e gestão da solução de segurança. 1.2. O treinamento deve ser destinado a até </w:t>
                  </w:r>
                  <w:proofErr w:type="gramStart"/>
                  <w:r w:rsidRPr="00DA70D5">
                    <w:t>4</w:t>
                  </w:r>
                  <w:proofErr w:type="gramEnd"/>
                  <w:r w:rsidRPr="00DA70D5">
                    <w:t xml:space="preserve"> (Quatro) funcionários indicados pela CONTRATANTE. 1.3. O treinamento deve ter carga horária de no </w:t>
                  </w:r>
                  <w:proofErr w:type="spellStart"/>
                  <w:r w:rsidRPr="00DA70D5">
                    <w:t>minímo</w:t>
                  </w:r>
                  <w:proofErr w:type="spellEnd"/>
                  <w:r w:rsidRPr="00DA70D5">
                    <w:t xml:space="preserve"> 24 (Vinte e quatro) horas. 1.4. O Repasse de conhecimento deverá ser iniciado antes do término da migração 1.5. O treinamento ofertado deverá ser o oficial da ferramenta ou equivalente, atestado pelo fabricante 1.6. Ao final do treinamento, deverá ser entregue certificado de participação no treinamento a todos os participantes. 1.7. O material didático do fabricante, a ser entregue a cada um dos participantes, deverá ser fornecido à UFRN 15 (quinze) dias antes da sua realização; 1.8. O referido material didático para acompanhamento do repasse tecnológico deve ter o idioma em português ou inglês; 1.9. Ao final do treinamento, deverá ser aplicada uma prova online, a fim de se comprovar os conhecimentos adquiridos e certificar os </w:t>
                  </w:r>
                  <w:proofErr w:type="gramStart"/>
                  <w:r w:rsidRPr="00DA70D5">
                    <w:t>participantes.</w:t>
                  </w:r>
                  <w:proofErr w:type="gramEnd"/>
                  <w:r w:rsidRPr="00DA70D5">
                    <w:t>(</w:t>
                  </w:r>
                  <w:proofErr w:type="spellStart"/>
                  <w:r w:rsidRPr="00DA70D5">
                    <w:t>dmp</w:t>
                  </w:r>
                  <w:proofErr w:type="spellEnd"/>
                  <w:r w:rsidRPr="00DA70D5">
                    <w:t>-3948000000125).demais especificações encontram-se no edital.</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Tratamento Diferenciado: </w:t>
                  </w:r>
                  <w:r w:rsidRPr="00DA70D5">
                    <w:t>-</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Aplicabilidade Margem de Preferência: </w:t>
                  </w:r>
                  <w:r w:rsidRPr="00DA70D5">
                    <w:t>Não</w:t>
                  </w:r>
                </w:p>
              </w:tc>
            </w:tr>
            <w:tr w:rsidR="00DA70D5" w:rsidRPr="00DA70D5">
              <w:trPr>
                <w:tblCellSpacing w:w="0" w:type="dxa"/>
              </w:trPr>
              <w:tc>
                <w:tcPr>
                  <w:tcW w:w="2500" w:type="pct"/>
                  <w:shd w:val="clear" w:color="auto" w:fill="FFFFFF"/>
                  <w:vAlign w:val="center"/>
                  <w:hideMark/>
                </w:tcPr>
                <w:p w:rsidR="00DA70D5" w:rsidRPr="00DA70D5" w:rsidRDefault="00DA70D5" w:rsidP="00604F20">
                  <w:pPr>
                    <w:spacing w:after="0"/>
                  </w:pPr>
                  <w:r w:rsidRPr="00DA70D5">
                    <w:rPr>
                      <w:bCs/>
                    </w:rPr>
                    <w:t>Quantidade: </w:t>
                  </w:r>
                  <w:proofErr w:type="gramStart"/>
                  <w:r w:rsidRPr="00DA70D5">
                    <w:t>1</w:t>
                  </w:r>
                  <w:proofErr w:type="gramEnd"/>
                </w:p>
              </w:tc>
              <w:tc>
                <w:tcPr>
                  <w:tcW w:w="2500" w:type="pct"/>
                  <w:shd w:val="clear" w:color="auto" w:fill="FFFFFF"/>
                  <w:vAlign w:val="center"/>
                  <w:hideMark/>
                </w:tcPr>
                <w:p w:rsidR="00DA70D5" w:rsidRPr="00DA70D5" w:rsidRDefault="00DA70D5" w:rsidP="00604F20">
                  <w:pPr>
                    <w:spacing w:after="0"/>
                  </w:pPr>
                  <w:r w:rsidRPr="00DA70D5">
                    <w:rPr>
                      <w:bCs/>
                    </w:rPr>
                    <w:t>Unidade de fornecimento: </w:t>
                  </w:r>
                  <w:r w:rsidRPr="00DA70D5">
                    <w:t>SERVIÇO</w:t>
                  </w:r>
                </w:p>
              </w:tc>
            </w:tr>
            <w:tr w:rsidR="00DA70D5" w:rsidRPr="00DA70D5">
              <w:trPr>
                <w:tblCellSpacing w:w="0" w:type="dxa"/>
              </w:trPr>
              <w:tc>
                <w:tcPr>
                  <w:tcW w:w="0" w:type="auto"/>
                  <w:shd w:val="clear" w:color="auto" w:fill="FFFFFF"/>
                  <w:vAlign w:val="center"/>
                  <w:hideMark/>
                </w:tcPr>
                <w:p w:rsidR="00DA70D5" w:rsidRPr="00DA70D5" w:rsidRDefault="00DA70D5" w:rsidP="00604F20">
                  <w:pPr>
                    <w:spacing w:after="0"/>
                  </w:pPr>
                  <w:r w:rsidRPr="00DA70D5">
                    <w:rPr>
                      <w:bCs/>
                    </w:rPr>
                    <w:t>Valor estimado: R$ </w:t>
                  </w:r>
                  <w:r w:rsidRPr="00DA70D5">
                    <w:t>50.000,0000</w:t>
                  </w:r>
                </w:p>
              </w:tc>
              <w:tc>
                <w:tcPr>
                  <w:tcW w:w="0" w:type="auto"/>
                  <w:shd w:val="clear" w:color="auto" w:fill="FFFFFF"/>
                  <w:vAlign w:val="center"/>
                  <w:hideMark/>
                </w:tcPr>
                <w:p w:rsidR="00DA70D5" w:rsidRPr="00DA70D5" w:rsidRDefault="00DA70D5" w:rsidP="00604F20">
                  <w:pPr>
                    <w:spacing w:after="0"/>
                  </w:pPr>
                  <w:r w:rsidRPr="00DA70D5">
                    <w:rPr>
                      <w:bCs/>
                    </w:rPr>
                    <w:t>Situação: </w:t>
                  </w:r>
                  <w:r w:rsidRPr="00DA70D5">
                    <w:t>Aceito e Habilitado</w:t>
                  </w:r>
                </w:p>
              </w:tc>
            </w:tr>
          </w:tbl>
          <w:p w:rsidR="00DA70D5" w:rsidRPr="00DA70D5" w:rsidRDefault="00DA70D5" w:rsidP="00604F20"/>
        </w:tc>
      </w:tr>
    </w:tbl>
    <w:p w:rsidR="00DA70D5" w:rsidRPr="00DA70D5" w:rsidRDefault="00DA70D5" w:rsidP="00DA70D5">
      <w:pPr>
        <w:spacing w:after="0"/>
        <w:jc w:val="center"/>
        <w:rPr>
          <w:vanish/>
        </w:rPr>
      </w:pPr>
    </w:p>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pPr>
            <w:r w:rsidRPr="00DA70D5">
              <w:br/>
            </w:r>
            <w:r w:rsidRPr="00DA70D5">
              <w:rPr>
                <w:bCs w:val="0"/>
              </w:rPr>
              <w:t>Aceito para: </w:t>
            </w:r>
            <w:r w:rsidRPr="00DA70D5">
              <w:t>QUALITEK TECNOLOGIA LTDA - EPP</w:t>
            </w:r>
            <w:r w:rsidRPr="00DA70D5">
              <w:rPr>
                <w:bCs w:val="0"/>
              </w:rPr>
              <w:t>, pelo melhor lance de</w:t>
            </w:r>
            <w:r w:rsidRPr="00DA70D5">
              <w:t> R$ 15.000,0000 </w:t>
            </w:r>
            <w:r w:rsidRPr="00DA70D5">
              <w:rPr>
                <w:bCs w:val="0"/>
              </w:rPr>
              <w:t>e a quantidade de </w:t>
            </w:r>
            <w:proofErr w:type="gramStart"/>
            <w:r w:rsidRPr="00DA70D5">
              <w:t>1</w:t>
            </w:r>
            <w:proofErr w:type="gramEnd"/>
            <w:r w:rsidRPr="00DA70D5">
              <w:t> </w:t>
            </w:r>
            <w:r w:rsidRPr="00DA70D5">
              <w:rPr>
                <w:bCs w:val="0"/>
              </w:rPr>
              <w:t>SERVIÇO</w:t>
            </w:r>
            <w:r w:rsidRPr="00DA70D5">
              <w:t> .</w:t>
            </w:r>
          </w:p>
        </w:tc>
      </w:tr>
    </w:tbl>
    <w:p w:rsidR="00DA70D5" w:rsidRPr="00DA70D5" w:rsidRDefault="00DA70D5" w:rsidP="00DA70D5">
      <w:pPr>
        <w:spacing w:after="0"/>
        <w:jc w:val="center"/>
      </w:pPr>
    </w:p>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rPr>
                <w:bCs w:val="0"/>
              </w:rPr>
            </w:pPr>
            <w:r w:rsidRPr="00DA70D5">
              <w:rPr>
                <w:bCs w:val="0"/>
              </w:rPr>
              <w:t xml:space="preserve">Item: 4 - GRUPO </w:t>
            </w:r>
            <w:proofErr w:type="gramStart"/>
            <w:r w:rsidRPr="00DA70D5">
              <w:rPr>
                <w:bCs w:val="0"/>
              </w:rPr>
              <w:t>1</w:t>
            </w:r>
            <w:proofErr w:type="gramEnd"/>
          </w:p>
        </w:tc>
      </w:tr>
      <w:tr w:rsidR="00DA70D5" w:rsidRPr="00DA70D5" w:rsidTr="00604F20">
        <w:trPr>
          <w:cnfStyle w:val="000000100000"/>
        </w:trPr>
        <w:tc>
          <w:tcPr>
            <w:cnfStyle w:val="001000000000"/>
            <w:tcW w:w="0" w:type="auto"/>
            <w:hideMark/>
          </w:tcPr>
          <w:tbl>
            <w:tblPr>
              <w:tblW w:w="5000" w:type="pct"/>
              <w:tblCellSpacing w:w="0" w:type="dxa"/>
              <w:shd w:val="clear" w:color="auto" w:fill="FFFFFF"/>
              <w:tblCellMar>
                <w:left w:w="0" w:type="dxa"/>
                <w:right w:w="0" w:type="dxa"/>
              </w:tblCellMar>
              <w:tblLook w:val="04A0"/>
            </w:tblPr>
            <w:tblGrid>
              <w:gridCol w:w="4165"/>
              <w:gridCol w:w="4165"/>
            </w:tblGrid>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w:t>
                  </w:r>
                  <w:r w:rsidR="00604F20">
                    <w:rPr>
                      <w:bCs/>
                    </w:rPr>
                    <w:t xml:space="preserve"> </w:t>
                  </w:r>
                  <w:r w:rsidR="00604F20" w:rsidRPr="00604F20">
                    <w:rPr>
                      <w:bCs/>
                    </w:rPr>
                    <w:t>SUPORTE EM AMBIENTE PARA PROTEÇÃO DE CORREIO ELETRÔNICO</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Descrição Complementar: </w:t>
                  </w:r>
                  <w:r w:rsidRPr="00DA70D5">
                    <w:t xml:space="preserve">SUPORTE EM AMBIENTE PARA PROTEÇÃO DE CORREIO ELETRÔNICO 1.1. O Serviço de Suporte na solução deve fornecer serviços profissionais, executados por especialistas com base nas melhores práticas de mercado, de forma suportar a solução em sua totalidade. 1.2. Produtos a serem entregues: Suíte de Filtro de Mensagens Externas plenamente em funcionamento; Manual de Instalação, mostrando como o software foi instalado, suas configurações e customizações realizadas. 1.3. Serviços especializados de suporte remoto e/ou presencial, pelo período de </w:t>
                  </w:r>
                  <w:proofErr w:type="gramStart"/>
                  <w:r w:rsidRPr="00DA70D5">
                    <w:t>3</w:t>
                  </w:r>
                  <w:proofErr w:type="gramEnd"/>
                  <w:r w:rsidRPr="00DA70D5">
                    <w:t xml:space="preserve"> anos, em solução de </w:t>
                  </w:r>
                  <w:proofErr w:type="spellStart"/>
                  <w:r w:rsidRPr="00DA70D5">
                    <w:t>AntiSpam</w:t>
                  </w:r>
                  <w:proofErr w:type="spellEnd"/>
                  <w:r w:rsidRPr="00DA70D5">
                    <w:t xml:space="preserve"> de Gateway para serviço de correio eletrônico, integrado ao ambiente já existente na UFRN; 1.4. A empresa proponente deverá comprovar que possui em seu quadro funcional, no mínimo 01 (um) profissional técnico capacitado no programa de certificação oficial do fabricante da solução ofertada; (</w:t>
                  </w:r>
                  <w:proofErr w:type="spellStart"/>
                  <w:r w:rsidRPr="00DA70D5">
                    <w:t>dmp</w:t>
                  </w:r>
                  <w:proofErr w:type="spellEnd"/>
                  <w:r w:rsidRPr="00DA70D5">
                    <w:t>-3957000000121</w:t>
                  </w:r>
                  <w:proofErr w:type="gramStart"/>
                  <w:r w:rsidRPr="00DA70D5">
                    <w:t>).</w:t>
                  </w:r>
                  <w:proofErr w:type="gramEnd"/>
                  <w:r w:rsidRPr="00DA70D5">
                    <w:t>demais especificações encontram-se no edital.</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t>Tratamento Diferenciado: </w:t>
                  </w:r>
                  <w:r w:rsidRPr="00DA70D5">
                    <w:t>-</w:t>
                  </w:r>
                </w:p>
              </w:tc>
            </w:tr>
            <w:tr w:rsidR="00DA70D5" w:rsidRPr="00DA70D5">
              <w:trPr>
                <w:tblCellSpacing w:w="0" w:type="dxa"/>
              </w:trPr>
              <w:tc>
                <w:tcPr>
                  <w:tcW w:w="0" w:type="auto"/>
                  <w:gridSpan w:val="2"/>
                  <w:shd w:val="clear" w:color="auto" w:fill="FFFFFF"/>
                  <w:vAlign w:val="center"/>
                  <w:hideMark/>
                </w:tcPr>
                <w:p w:rsidR="00DA70D5" w:rsidRPr="00DA70D5" w:rsidRDefault="00DA70D5" w:rsidP="00604F20">
                  <w:pPr>
                    <w:spacing w:after="0"/>
                  </w:pPr>
                  <w:r w:rsidRPr="00DA70D5">
                    <w:rPr>
                      <w:bCs/>
                    </w:rPr>
                    <w:lastRenderedPageBreak/>
                    <w:t>Aplicabilidade Margem de Preferência: </w:t>
                  </w:r>
                  <w:r w:rsidRPr="00DA70D5">
                    <w:t>Não</w:t>
                  </w:r>
                </w:p>
              </w:tc>
            </w:tr>
            <w:tr w:rsidR="00DA70D5" w:rsidRPr="00DA70D5">
              <w:trPr>
                <w:tblCellSpacing w:w="0" w:type="dxa"/>
              </w:trPr>
              <w:tc>
                <w:tcPr>
                  <w:tcW w:w="2500" w:type="pct"/>
                  <w:shd w:val="clear" w:color="auto" w:fill="FFFFFF"/>
                  <w:vAlign w:val="center"/>
                  <w:hideMark/>
                </w:tcPr>
                <w:p w:rsidR="00DA70D5" w:rsidRPr="00DA70D5" w:rsidRDefault="00DA70D5" w:rsidP="00604F20">
                  <w:pPr>
                    <w:spacing w:after="0"/>
                  </w:pPr>
                  <w:r w:rsidRPr="00DA70D5">
                    <w:rPr>
                      <w:bCs/>
                    </w:rPr>
                    <w:t>Quantidade: </w:t>
                  </w:r>
                  <w:r w:rsidRPr="00DA70D5">
                    <w:t>180</w:t>
                  </w:r>
                </w:p>
              </w:tc>
              <w:tc>
                <w:tcPr>
                  <w:tcW w:w="2500" w:type="pct"/>
                  <w:shd w:val="clear" w:color="auto" w:fill="FFFFFF"/>
                  <w:vAlign w:val="center"/>
                  <w:hideMark/>
                </w:tcPr>
                <w:p w:rsidR="00DA70D5" w:rsidRPr="00DA70D5" w:rsidRDefault="00DA70D5" w:rsidP="00604F20">
                  <w:pPr>
                    <w:spacing w:after="0"/>
                  </w:pPr>
                  <w:r w:rsidRPr="00DA70D5">
                    <w:rPr>
                      <w:bCs/>
                    </w:rPr>
                    <w:t>Unidade de fornecimento: </w:t>
                  </w:r>
                  <w:proofErr w:type="spellStart"/>
                  <w:r w:rsidRPr="00DA70D5">
                    <w:t>ust</w:t>
                  </w:r>
                  <w:proofErr w:type="spellEnd"/>
                </w:p>
              </w:tc>
            </w:tr>
            <w:tr w:rsidR="00DA70D5" w:rsidRPr="00DA70D5">
              <w:trPr>
                <w:tblCellSpacing w:w="0" w:type="dxa"/>
              </w:trPr>
              <w:tc>
                <w:tcPr>
                  <w:tcW w:w="0" w:type="auto"/>
                  <w:shd w:val="clear" w:color="auto" w:fill="FFFFFF"/>
                  <w:vAlign w:val="center"/>
                  <w:hideMark/>
                </w:tcPr>
                <w:p w:rsidR="00DA70D5" w:rsidRPr="00DA70D5" w:rsidRDefault="00DA70D5" w:rsidP="00604F20">
                  <w:pPr>
                    <w:spacing w:after="0"/>
                  </w:pPr>
                  <w:r w:rsidRPr="00DA70D5">
                    <w:rPr>
                      <w:bCs/>
                    </w:rPr>
                    <w:t>Valor estimado: R$ </w:t>
                  </w:r>
                  <w:r w:rsidRPr="00DA70D5">
                    <w:t>533,3300</w:t>
                  </w:r>
                </w:p>
              </w:tc>
              <w:tc>
                <w:tcPr>
                  <w:tcW w:w="0" w:type="auto"/>
                  <w:shd w:val="clear" w:color="auto" w:fill="FFFFFF"/>
                  <w:vAlign w:val="center"/>
                  <w:hideMark/>
                </w:tcPr>
                <w:p w:rsidR="00DA70D5" w:rsidRPr="00DA70D5" w:rsidRDefault="00DA70D5" w:rsidP="00604F20">
                  <w:pPr>
                    <w:spacing w:after="0"/>
                  </w:pPr>
                  <w:r w:rsidRPr="00DA70D5">
                    <w:rPr>
                      <w:bCs/>
                    </w:rPr>
                    <w:t>Situação: </w:t>
                  </w:r>
                  <w:r w:rsidRPr="00DA70D5">
                    <w:t>Aceito e Habilitado</w:t>
                  </w:r>
                </w:p>
              </w:tc>
            </w:tr>
          </w:tbl>
          <w:p w:rsidR="00DA70D5" w:rsidRPr="00DA70D5" w:rsidRDefault="00DA70D5" w:rsidP="00604F20"/>
        </w:tc>
      </w:tr>
    </w:tbl>
    <w:p w:rsidR="00DA70D5" w:rsidRPr="00DA70D5" w:rsidRDefault="00DA70D5" w:rsidP="00DA70D5">
      <w:pPr>
        <w:spacing w:after="0"/>
        <w:jc w:val="center"/>
        <w:rPr>
          <w:vanish/>
        </w:rPr>
      </w:pPr>
    </w:p>
    <w:tbl>
      <w:tblPr>
        <w:tblStyle w:val="SombreamentoMdio1-nfase1"/>
        <w:tblW w:w="4900" w:type="pct"/>
        <w:tblLook w:val="04A0"/>
      </w:tblPr>
      <w:tblGrid>
        <w:gridCol w:w="8546"/>
      </w:tblGrid>
      <w:tr w:rsidR="00DA70D5" w:rsidRPr="00DA70D5" w:rsidTr="00604F20">
        <w:trPr>
          <w:cnfStyle w:val="100000000000"/>
        </w:trPr>
        <w:tc>
          <w:tcPr>
            <w:cnfStyle w:val="001000000000"/>
            <w:tcW w:w="0" w:type="auto"/>
            <w:hideMark/>
          </w:tcPr>
          <w:p w:rsidR="00DA70D5" w:rsidRPr="00DA70D5" w:rsidRDefault="00DA70D5" w:rsidP="00DA70D5">
            <w:pPr>
              <w:jc w:val="center"/>
            </w:pPr>
            <w:r w:rsidRPr="00DA70D5">
              <w:br/>
            </w:r>
            <w:r w:rsidRPr="00DA70D5">
              <w:rPr>
                <w:bCs w:val="0"/>
              </w:rPr>
              <w:t>Aceito para:</w:t>
            </w:r>
            <w:r>
              <w:rPr>
                <w:bCs w:val="0"/>
              </w:rPr>
              <w:t xml:space="preserve"> </w:t>
            </w:r>
            <w:r w:rsidRPr="00DA70D5">
              <w:t>QUALITEK TECNOLOGIA LTDA - EPP</w:t>
            </w:r>
            <w:r w:rsidRPr="00DA70D5">
              <w:rPr>
                <w:bCs w:val="0"/>
              </w:rPr>
              <w:t>, pelo melhor lance de</w:t>
            </w:r>
            <w:r w:rsidRPr="00DA70D5">
              <w:t> R$ 200,0000 </w:t>
            </w:r>
            <w:r w:rsidRPr="00DA70D5">
              <w:rPr>
                <w:bCs w:val="0"/>
              </w:rPr>
              <w:t>e a quantidade de </w:t>
            </w:r>
            <w:r w:rsidRPr="00DA70D5">
              <w:t>180 </w:t>
            </w:r>
            <w:proofErr w:type="spellStart"/>
            <w:proofErr w:type="gramStart"/>
            <w:r w:rsidRPr="00DA70D5">
              <w:rPr>
                <w:bCs w:val="0"/>
              </w:rPr>
              <w:t>ust</w:t>
            </w:r>
            <w:proofErr w:type="spellEnd"/>
            <w:r w:rsidRPr="00DA70D5">
              <w:t> .</w:t>
            </w:r>
            <w:proofErr w:type="gramEnd"/>
          </w:p>
        </w:tc>
      </w:tr>
    </w:tbl>
    <w:p w:rsidR="00DA70D5" w:rsidRDefault="00DA70D5" w:rsidP="00DA70D5">
      <w:pPr>
        <w:spacing w:after="0"/>
      </w:pPr>
    </w:p>
    <w:p w:rsidR="00DA70D5" w:rsidRDefault="00DA70D5" w:rsidP="001304BA"/>
    <w:p w:rsidR="001304BA" w:rsidRDefault="001304BA" w:rsidP="001304BA">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1304BA" w:rsidRDefault="001304BA" w:rsidP="001304BA">
      <w:pPr>
        <w:jc w:val="both"/>
      </w:pPr>
      <w:r>
        <w:t>2.3. O registro dos licitantes que aceitarem cotar os bens ou serviços com preços iguais ao da licitante vencedora deve seguir a sequência da classificação do certame;</w:t>
      </w:r>
    </w:p>
    <w:p w:rsidR="001304BA" w:rsidRDefault="001304BA" w:rsidP="001304BA">
      <w:pPr>
        <w:jc w:val="both"/>
      </w:pPr>
      <w:r>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1304BA" w:rsidRDefault="001304BA" w:rsidP="001304BA">
      <w:pPr>
        <w:jc w:val="both"/>
      </w:pPr>
      <w:r>
        <w:t xml:space="preserve">2.5. Nas contratações deverá ser respeitada a ordem de classificação dos licitantes registrados na ata de registro de preços; </w:t>
      </w:r>
    </w:p>
    <w:p w:rsidR="001304BA" w:rsidRDefault="001304BA" w:rsidP="001304BA">
      <w:pPr>
        <w:jc w:val="both"/>
      </w:pPr>
      <w:r>
        <w:t>2.6. Deverá ser divulgada no portal de compras do Governo Federal e ficará disponibilizado durante a vigência da ata, o preço registrado com indicação dos fornecedores;</w:t>
      </w:r>
    </w:p>
    <w:p w:rsidR="001304BA" w:rsidRDefault="001304BA" w:rsidP="001304BA">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UFRN, endereço: http://www.sipac.ufrn.br.</w:t>
      </w:r>
    </w:p>
    <w:p w:rsidR="001304BA" w:rsidRDefault="001304BA" w:rsidP="001304BA">
      <w:pPr>
        <w:jc w:val="both"/>
      </w:pPr>
      <w:r>
        <w:t>3 – DAS CONDIÇÕES DE FORNECIMENTO</w:t>
      </w:r>
    </w:p>
    <w:p w:rsidR="001304BA" w:rsidRDefault="001304BA" w:rsidP="001304BA">
      <w:pPr>
        <w:jc w:val="both"/>
      </w:pPr>
      <w:r>
        <w:t>3. Disposições relativas às Condições de Fornecimento.</w:t>
      </w:r>
    </w:p>
    <w:p w:rsidR="001304BA" w:rsidRDefault="001304BA" w:rsidP="001304BA">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1304BA" w:rsidRDefault="001304BA" w:rsidP="001304BA">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1304BA" w:rsidRDefault="001304BA" w:rsidP="001304BA">
      <w:pPr>
        <w:jc w:val="both"/>
      </w:pPr>
      <w:r>
        <w:lastRenderedPageBreak/>
        <w:t>3.3. A convocação do proponente pela UFRN, através da Comissão Especial de Registro de Preços, será formalizada e conterá o endereço e o prazo máximo em que o proponente convocado deverá comparecer para retirar o respectivo pedido.</w:t>
      </w:r>
    </w:p>
    <w:p w:rsidR="001304BA" w:rsidRDefault="001304BA" w:rsidP="001304BA">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1304BA" w:rsidRDefault="001304BA" w:rsidP="001304BA">
      <w:pPr>
        <w:jc w:val="both"/>
      </w:pPr>
      <w:r>
        <w:t>3.5. Quando comprovada uma dessas hipóteses, a UFRN poderá indicar o próximo fornecedor a ser destinado o pedido, sem prejuízo da abertura de processo administrativo para aplicação de penalidade.</w:t>
      </w:r>
    </w:p>
    <w:p w:rsidR="001304BA" w:rsidRDefault="001304BA" w:rsidP="001304BA">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1304BA" w:rsidRDefault="001304BA" w:rsidP="001304BA">
      <w:pPr>
        <w:jc w:val="both"/>
      </w:pPr>
      <w:r>
        <w:t>3.7. O proponente que não cumprir as obrigações estabelecidas nesta ata estará sujeito às sanções previstas no respectivo edital e seus anexos.</w:t>
      </w:r>
    </w:p>
    <w:p w:rsidR="001304BA" w:rsidRDefault="001304BA" w:rsidP="001304BA">
      <w:pPr>
        <w:jc w:val="both"/>
      </w:pPr>
      <w:r>
        <w:t>4 – CONTROLE E REVISÃO DE PREÇOS</w:t>
      </w:r>
    </w:p>
    <w:p w:rsidR="001304BA" w:rsidRDefault="001304BA" w:rsidP="001304BA">
      <w:pPr>
        <w:jc w:val="both"/>
      </w:pPr>
      <w:r>
        <w:t>4. Disposições relativas ao Controle e Revisão de Preços.</w:t>
      </w:r>
    </w:p>
    <w:p w:rsidR="001304BA" w:rsidRDefault="001304BA" w:rsidP="001304BA">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1304BA" w:rsidRDefault="001304BA" w:rsidP="001304BA">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1304BA" w:rsidRDefault="001304BA" w:rsidP="001304BA">
      <w:pPr>
        <w:jc w:val="both"/>
      </w:pPr>
      <w:r>
        <w:t>4.3. Quando os preços registrados tornarem-se superiores aos praticados no mercado, por motivo superveniente, a UFRN convocará os fornecedores para negociar a redução dos preços aos valores praticados no mercado.</w:t>
      </w:r>
    </w:p>
    <w:p w:rsidR="001304BA" w:rsidRDefault="001304BA" w:rsidP="001304BA">
      <w:pPr>
        <w:jc w:val="both"/>
      </w:pPr>
      <w:r>
        <w:t>4.3.1. Os fornecedores que não aceitarem reduzir seus preços aos valores praticados pelo mercado serão liberados do compromisso assumido, sem aplicação de penalidades.</w:t>
      </w:r>
    </w:p>
    <w:p w:rsidR="001304BA" w:rsidRDefault="001304BA" w:rsidP="001304BA">
      <w:pPr>
        <w:jc w:val="both"/>
      </w:pPr>
      <w:r>
        <w:t>4.3.2. A ordem de classificação dos fornecedores que aceitarem reduzir seus preços aos valores de mercado observará a ordem classificação original.</w:t>
      </w:r>
    </w:p>
    <w:p w:rsidR="001304BA" w:rsidRDefault="001304BA" w:rsidP="001304BA">
      <w:pPr>
        <w:jc w:val="both"/>
      </w:pPr>
      <w:r>
        <w:t>4.4. Quando o preço de mercado tornar-se superior aos preços registrados e o fornecedor não puder cumprir o compromisso, a UFRN poderá:</w:t>
      </w:r>
    </w:p>
    <w:p w:rsidR="001304BA" w:rsidRDefault="001304BA" w:rsidP="001304BA">
      <w:pPr>
        <w:jc w:val="both"/>
      </w:pPr>
      <w:r>
        <w:t xml:space="preserve">I.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 (Dec. nº 7.892/2013, art. 19, I)</w:t>
      </w:r>
    </w:p>
    <w:p w:rsidR="001304BA" w:rsidRDefault="001304BA" w:rsidP="001304BA">
      <w:pPr>
        <w:jc w:val="both"/>
      </w:pPr>
      <w:r>
        <w:lastRenderedPageBreak/>
        <w:t xml:space="preserve">II. </w:t>
      </w:r>
      <w:proofErr w:type="gramStart"/>
      <w:r>
        <w:t>convocar</w:t>
      </w:r>
      <w:proofErr w:type="gramEnd"/>
      <w:r>
        <w:t xml:space="preserve"> os demais fornecedores para assegurar igual oportunidade de negociação. (Dec. nº 7.892/2013, art. 19, II)</w:t>
      </w:r>
    </w:p>
    <w:p w:rsidR="001304BA" w:rsidRDefault="001304BA" w:rsidP="001304BA">
      <w:pPr>
        <w:jc w:val="both"/>
      </w:pPr>
      <w:r>
        <w:t>4.4.1. O referido pedido de fornecimento corresponde à Nota de Empenho – NE emitida em favor do fornecedor.</w:t>
      </w:r>
    </w:p>
    <w:p w:rsidR="001304BA" w:rsidRDefault="001304BA" w:rsidP="001304BA">
      <w:pPr>
        <w:jc w:val="both"/>
      </w:pPr>
      <w:r>
        <w:t>4.4.2. 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1304BA" w:rsidRDefault="001304BA" w:rsidP="001304BA">
      <w:pPr>
        <w:jc w:val="both"/>
      </w:pPr>
      <w:r>
        <w:t xml:space="preserve">4.4.2.1. As Notas fiscais devem refletir aquisições compatíveis com os quantitativos fornecidos </w:t>
      </w:r>
      <w:proofErr w:type="spellStart"/>
      <w:r>
        <w:t>parceladamente</w:t>
      </w:r>
      <w:proofErr w:type="spellEnd"/>
      <w:r>
        <w:t xml:space="preserve"> à UFRN.</w:t>
      </w:r>
    </w:p>
    <w:p w:rsidR="001304BA" w:rsidRDefault="001304BA" w:rsidP="001304BA">
      <w:pPr>
        <w:jc w:val="both"/>
      </w:pPr>
      <w:r>
        <w:t>4.5. Não havendo êxito nas negociações, o órgão gerenciador deverá proceder à revogação da presente ata de registro de preços, adotando as medidas cabíveis para obtenção da contratação mais vantajosa. (Dec. nº 7.892/2013, art. 19, Parágrafo único</w:t>
      </w:r>
      <w:proofErr w:type="gramStart"/>
      <w:r>
        <w:t>)</w:t>
      </w:r>
      <w:proofErr w:type="gramEnd"/>
    </w:p>
    <w:p w:rsidR="001304BA" w:rsidRDefault="001304BA" w:rsidP="001304BA">
      <w:pPr>
        <w:jc w:val="both"/>
      </w:pPr>
      <w:r>
        <w:t xml:space="preserve">4.6. 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rsidR="001304BA" w:rsidRDefault="001304BA" w:rsidP="001304BA">
      <w:pPr>
        <w:jc w:val="both"/>
      </w:pPr>
      <w:r>
        <w:t>4.7. Na hipótese prevista no item anterior, a contratação dar-se-á pela ordem do registro e na razão dos respectivos limites de fornecimento registrados na presente ata.</w:t>
      </w:r>
    </w:p>
    <w:p w:rsidR="001304BA" w:rsidRDefault="001304BA" w:rsidP="001304BA">
      <w:pPr>
        <w:jc w:val="both"/>
      </w:pPr>
      <w:r>
        <w:t>5 – DA CONTRATAÇÃO</w:t>
      </w:r>
    </w:p>
    <w:p w:rsidR="001304BA" w:rsidRDefault="001304BA" w:rsidP="001304BA">
      <w:pPr>
        <w:jc w:val="both"/>
      </w:pPr>
      <w:r>
        <w:t>5. Disposições relativas à Contratação.</w:t>
      </w:r>
    </w:p>
    <w:p w:rsidR="001304BA" w:rsidRDefault="001304BA" w:rsidP="001304BA">
      <w:pPr>
        <w:jc w:val="both"/>
      </w:pPr>
      <w:r>
        <w:t xml:space="preserve">5.1.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1304BA" w:rsidRDefault="001304BA" w:rsidP="001304BA">
      <w:pPr>
        <w:jc w:val="both"/>
      </w:pPr>
      <w:r>
        <w:t>6 – DA FORMALIZAÇÃO DA CONTRATAÇÃO</w:t>
      </w:r>
    </w:p>
    <w:p w:rsidR="001304BA" w:rsidRDefault="001304BA" w:rsidP="001304BA">
      <w:pPr>
        <w:jc w:val="both"/>
      </w:pPr>
      <w:r>
        <w:t>6. Disposições relativas à Formalização da Contratação.</w:t>
      </w:r>
    </w:p>
    <w:p w:rsidR="001304BA" w:rsidRDefault="001304BA" w:rsidP="001304BA">
      <w:pPr>
        <w:jc w:val="both"/>
      </w:pPr>
      <w:r>
        <w:t>6.1. A contratação junto a cada fornecedor registrado será formalizada por intermédio de emissão de Nota de Empenho de despesa.</w:t>
      </w:r>
    </w:p>
    <w:p w:rsidR="001304BA" w:rsidRDefault="001304BA" w:rsidP="001304BA">
      <w:pPr>
        <w:jc w:val="both"/>
      </w:pPr>
      <w:r>
        <w:t>7 – DO CANCELAMENTO DO REGISTRO DE PREÇOS</w:t>
      </w:r>
    </w:p>
    <w:p w:rsidR="001304BA" w:rsidRDefault="001304BA" w:rsidP="001304BA">
      <w:pPr>
        <w:jc w:val="both"/>
      </w:pPr>
      <w:r>
        <w:t>7. Disposições relativas ao Cancelamento do Registro de Preços.</w:t>
      </w:r>
    </w:p>
    <w:p w:rsidR="001304BA" w:rsidRDefault="001304BA" w:rsidP="001304BA">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1304BA" w:rsidRDefault="001304BA" w:rsidP="001304BA">
      <w:pPr>
        <w:jc w:val="both"/>
      </w:pPr>
      <w:r>
        <w:lastRenderedPageBreak/>
        <w:t>7.1.1. O proponente terá o seu registro de preço cancelado na presente ata, por intermédio de processo administrativo específico, assegurado o direito ao contraditório e à ampla defesa.</w:t>
      </w:r>
    </w:p>
    <w:p w:rsidR="001304BA" w:rsidRDefault="001304BA" w:rsidP="001304BA">
      <w:pPr>
        <w:jc w:val="both"/>
      </w:pPr>
      <w:r>
        <w:t>7.1.2. O cancelamento a pedido do proponente dar-se-á quando:</w:t>
      </w:r>
    </w:p>
    <w:p w:rsidR="001304BA" w:rsidRDefault="001304BA" w:rsidP="001304BA">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1304BA" w:rsidRDefault="001304BA" w:rsidP="001304BA">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1304BA" w:rsidRDefault="001304BA" w:rsidP="001304BA">
      <w:pPr>
        <w:jc w:val="both"/>
      </w:pPr>
      <w:r>
        <w:t>7.1.3. O cancelamento unilateral por iniciativa da UFRN dar-se-á quando:</w:t>
      </w:r>
    </w:p>
    <w:p w:rsidR="001304BA" w:rsidRDefault="001304BA" w:rsidP="001304BA">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1304BA" w:rsidRDefault="001304BA" w:rsidP="001304BA">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1304BA" w:rsidRDefault="001304BA" w:rsidP="001304BA">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1304BA" w:rsidRDefault="001304BA" w:rsidP="001304BA">
      <w:pPr>
        <w:jc w:val="both"/>
      </w:pPr>
      <w:r>
        <w:t xml:space="preserve">IV. </w:t>
      </w:r>
      <w:proofErr w:type="gramStart"/>
      <w:r>
        <w:t>por</w:t>
      </w:r>
      <w:proofErr w:type="gramEnd"/>
      <w:r>
        <w:t xml:space="preserve"> razões de interesse público, devidamente motivadas e justificadas;</w:t>
      </w:r>
    </w:p>
    <w:p w:rsidR="001304BA" w:rsidRDefault="001304BA" w:rsidP="001304BA">
      <w:pPr>
        <w:jc w:val="both"/>
      </w:pPr>
      <w:r>
        <w:t>V. o proponente registrado não cumprir as obrigações decorrentes da presente ata, caso em que o cancelamento será formalizado por despacho da Administração, assegurado o direito ao contraditório e à ampla defesa;</w:t>
      </w:r>
    </w:p>
    <w:p w:rsidR="001304BA" w:rsidRDefault="001304BA" w:rsidP="001304BA">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1304BA" w:rsidRDefault="001304BA" w:rsidP="001304BA">
      <w:pPr>
        <w:jc w:val="both"/>
      </w:pPr>
      <w:r>
        <w:t xml:space="preserve">VII. </w:t>
      </w:r>
      <w:proofErr w:type="gramStart"/>
      <w:r>
        <w:t>o</w:t>
      </w:r>
      <w:proofErr w:type="gramEnd"/>
      <w:r>
        <w:t xml:space="preserve"> proponente não comparecer ou se recusar a retirar, no prazo estabelecido, os pedidos decorrentes da presente ata;</w:t>
      </w:r>
    </w:p>
    <w:p w:rsidR="001304BA" w:rsidRDefault="001304BA" w:rsidP="001304BA">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1304BA" w:rsidRDefault="001304BA" w:rsidP="001304BA">
      <w:pPr>
        <w:jc w:val="both"/>
      </w:pPr>
      <w:r>
        <w:t xml:space="preserve">IX. </w:t>
      </w:r>
      <w:proofErr w:type="gramStart"/>
      <w:r>
        <w:t>o</w:t>
      </w:r>
      <w:proofErr w:type="gramEnd"/>
      <w:r>
        <w:t xml:space="preserve"> proponente deixar de executar total ou parcialmente o contrato relativo ao presente Registro de Preços;</w:t>
      </w:r>
    </w:p>
    <w:p w:rsidR="001304BA" w:rsidRDefault="001304BA" w:rsidP="001304BA">
      <w:pPr>
        <w:jc w:val="both"/>
      </w:pPr>
      <w:r>
        <w:t xml:space="preserve">X. </w:t>
      </w:r>
      <w:proofErr w:type="gramStart"/>
      <w:r>
        <w:t>o</w:t>
      </w:r>
      <w:proofErr w:type="gramEnd"/>
      <w:r>
        <w:t xml:space="preserve"> proponente der causa à rescisão administrativa da contratação decorrente deste Registro de Preços.</w:t>
      </w:r>
    </w:p>
    <w:p w:rsidR="001304BA" w:rsidRDefault="001304BA" w:rsidP="001304BA">
      <w:pPr>
        <w:jc w:val="both"/>
      </w:pPr>
      <w:r>
        <w:lastRenderedPageBreak/>
        <w:t>7.1.4. A comunicação do cancelamento de preços registrados, nos casos previstos no inciso I deste artigo, será efetuada pessoalmente ou por correspondência com Aviso de Recebimento – AR, juntando-se o comprovante aos autos que deram origem a presente ata.</w:t>
      </w:r>
    </w:p>
    <w:p w:rsidR="001304BA" w:rsidRDefault="001304BA" w:rsidP="001304BA">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1304BA" w:rsidRDefault="001304BA" w:rsidP="001304BA">
      <w:pPr>
        <w:jc w:val="both"/>
      </w:pPr>
      <w:r>
        <w:t xml:space="preserve">7.1.6. </w:t>
      </w:r>
      <w:proofErr w:type="gramStart"/>
      <w:r>
        <w:t>A presente</w:t>
      </w:r>
      <w:proofErr w:type="gramEnd"/>
      <w:r>
        <w:t xml:space="preserve"> ata será cancelada automaticamente:</w:t>
      </w:r>
    </w:p>
    <w:p w:rsidR="001304BA" w:rsidRDefault="001304BA" w:rsidP="001304BA">
      <w:pPr>
        <w:jc w:val="both"/>
      </w:pPr>
      <w:r>
        <w:t xml:space="preserve">I. </w:t>
      </w:r>
      <w:proofErr w:type="gramStart"/>
      <w:r>
        <w:t>por</w:t>
      </w:r>
      <w:proofErr w:type="gramEnd"/>
      <w:r>
        <w:t xml:space="preserve"> decurso do prazo de vigência;</w:t>
      </w:r>
    </w:p>
    <w:p w:rsidR="001304BA" w:rsidRDefault="001304BA" w:rsidP="001304BA">
      <w:pPr>
        <w:jc w:val="both"/>
      </w:pPr>
      <w:r>
        <w:t xml:space="preserve">II. </w:t>
      </w:r>
      <w:proofErr w:type="gramStart"/>
      <w:r>
        <w:t>quando</w:t>
      </w:r>
      <w:proofErr w:type="gramEnd"/>
      <w:r>
        <w:t xml:space="preserve"> não restarem fornecedores registrados.</w:t>
      </w:r>
    </w:p>
    <w:p w:rsidR="001304BA" w:rsidRDefault="001304BA" w:rsidP="001304BA">
      <w:pPr>
        <w:jc w:val="both"/>
      </w:pPr>
      <w:r>
        <w:t>7.1.7. A revogação da presente ata será publicada em forma de extrato no DOU – Seção III.</w:t>
      </w:r>
    </w:p>
    <w:p w:rsidR="001304BA" w:rsidRDefault="001304BA" w:rsidP="001304BA">
      <w:pPr>
        <w:jc w:val="both"/>
      </w:pPr>
      <w:r>
        <w:t>8 – DO REMANEJAMENTO</w:t>
      </w:r>
    </w:p>
    <w:p w:rsidR="001304BA" w:rsidRDefault="001304BA" w:rsidP="001304BA">
      <w:pPr>
        <w:jc w:val="both"/>
      </w:pPr>
      <w:r>
        <w:t>8. Disposições relativas ao Remanejamento.</w:t>
      </w:r>
    </w:p>
    <w:p w:rsidR="001304BA" w:rsidRDefault="001304BA" w:rsidP="001304BA">
      <w:pPr>
        <w:jc w:val="both"/>
      </w:pPr>
      <w:r>
        <w:t xml:space="preserve">8.1.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1304BA" w:rsidRDefault="001304BA" w:rsidP="001304BA">
      <w:pPr>
        <w:jc w:val="both"/>
      </w:pPr>
      <w:r>
        <w:t xml:space="preserve">8.1.1.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1304BA" w:rsidRDefault="001304BA" w:rsidP="001304BA">
      <w:pPr>
        <w:jc w:val="both"/>
      </w:pPr>
      <w:r>
        <w:t>8.1.2. No caso de remanejamento de órgão participante para órgão não participante, devem ser observados os limites previstos nos §§ 3º e 4º do art. 22 do Dec. nº 7.892/2013.</w:t>
      </w:r>
    </w:p>
    <w:p w:rsidR="001304BA" w:rsidRDefault="001304BA" w:rsidP="001304BA">
      <w:pPr>
        <w:jc w:val="both"/>
      </w:pPr>
      <w:r>
        <w:t>8.1.3. Caberá ao órgão gerenciador autorizar o remanejamento solicitado, com a redução do quantitativo inicialmente informado pelo órgão participante, desde que haja prévia anuência do órgão que vier a sofrer redução dos quantitativos informados.</w:t>
      </w:r>
    </w:p>
    <w:p w:rsidR="001304BA" w:rsidRDefault="001304BA" w:rsidP="001304BA">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1304BA" w:rsidRDefault="001304BA" w:rsidP="001304BA">
      <w:pPr>
        <w:jc w:val="both"/>
      </w:pPr>
      <w:r>
        <w:t>8.1.5. A Administração poderá utilizar recursos de Tecnologia da Informação na operacionalização do disposto na supracitada Instrução Normativa e automatizar procedimentos de controle e gerenciamento dos atos dos órgãos e entidades envolvidas.</w:t>
      </w:r>
    </w:p>
    <w:p w:rsidR="001304BA" w:rsidRDefault="001304BA" w:rsidP="001304BA">
      <w:pPr>
        <w:jc w:val="both"/>
      </w:pPr>
      <w:r>
        <w:t>9 – DAS PARTES INTEGRANTES</w:t>
      </w:r>
    </w:p>
    <w:p w:rsidR="001304BA" w:rsidRDefault="001304BA" w:rsidP="001304BA">
      <w:pPr>
        <w:jc w:val="both"/>
      </w:pPr>
      <w:r>
        <w:t>9. Disposições relativas às Partes Integrantes.</w:t>
      </w:r>
    </w:p>
    <w:p w:rsidR="001304BA" w:rsidRDefault="001304BA" w:rsidP="001304BA">
      <w:pPr>
        <w:jc w:val="both"/>
      </w:pPr>
      <w:r>
        <w:t>9.1. O Termo de Referência do presente pregão, nº 81/2016, constitui parte integrante da presente ata, sendo, portanto, de cumprimento obrigatório.</w:t>
      </w:r>
    </w:p>
    <w:p w:rsidR="001304BA" w:rsidRDefault="001304BA" w:rsidP="001304BA">
      <w:pPr>
        <w:jc w:val="both"/>
      </w:pPr>
      <w:r>
        <w:lastRenderedPageBreak/>
        <w:t>10 – DO FORO</w:t>
      </w:r>
    </w:p>
    <w:p w:rsidR="001304BA" w:rsidRDefault="001304BA" w:rsidP="001304BA">
      <w:pPr>
        <w:jc w:val="both"/>
      </w:pPr>
      <w:r>
        <w:t>10.1 –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1304BA" w:rsidRDefault="001304BA" w:rsidP="001304BA">
      <w:pPr>
        <w:jc w:val="both"/>
      </w:pPr>
    </w:p>
    <w:p w:rsidR="001304BA" w:rsidRDefault="001304BA" w:rsidP="001304BA">
      <w:r>
        <w:t>Comissão Especial</w:t>
      </w:r>
    </w:p>
    <w:p w:rsidR="001304BA" w:rsidRDefault="001304BA" w:rsidP="001304BA">
      <w:proofErr w:type="gramStart"/>
      <w:r>
        <w:t>...............................................................................................</w:t>
      </w:r>
      <w:proofErr w:type="gramEnd"/>
    </w:p>
    <w:p w:rsidR="001304BA" w:rsidRDefault="001304BA" w:rsidP="001304BA">
      <w:proofErr w:type="gramStart"/>
      <w:r>
        <w:t>...............................................................................................</w:t>
      </w:r>
      <w:proofErr w:type="gramEnd"/>
    </w:p>
    <w:p w:rsidR="001304BA" w:rsidRDefault="001304BA" w:rsidP="001304BA">
      <w:proofErr w:type="gramStart"/>
      <w:r>
        <w:t>...............................................................................................</w:t>
      </w:r>
      <w:proofErr w:type="gramEnd"/>
    </w:p>
    <w:p w:rsidR="001304BA" w:rsidRDefault="001304BA" w:rsidP="001304BA"/>
    <w:p w:rsidR="00DA70D5" w:rsidRDefault="001304BA" w:rsidP="001304BA">
      <w:pPr>
        <w:spacing w:after="0" w:line="360" w:lineRule="auto"/>
      </w:pPr>
      <w:r>
        <w:t xml:space="preserve">Empresa: </w:t>
      </w:r>
      <w:r w:rsidR="00DA70D5" w:rsidRPr="00DA70D5">
        <w:t>QUALITEK TECNOLOGIA LTDA</w:t>
      </w:r>
    </w:p>
    <w:p w:rsidR="001304BA" w:rsidRPr="001304BA" w:rsidRDefault="001304BA" w:rsidP="001304BA">
      <w:pPr>
        <w:spacing w:after="0" w:line="360" w:lineRule="auto"/>
        <w:rPr>
          <w:rFonts w:ascii="Calibri" w:eastAsia="Calibri" w:hAnsi="Calibri" w:cs="Times New Roman"/>
          <w:bCs/>
        </w:rPr>
      </w:pPr>
      <w:r w:rsidRPr="001304BA">
        <w:rPr>
          <w:rFonts w:ascii="Calibri" w:eastAsia="Calibri" w:hAnsi="Calibri" w:cs="Times New Roman"/>
          <w:bCs/>
        </w:rPr>
        <w:t>REPRESENTANTE: ______________________________________________________________</w:t>
      </w:r>
    </w:p>
    <w:p w:rsidR="001304BA" w:rsidRPr="001304BA" w:rsidRDefault="001304BA" w:rsidP="001304BA">
      <w:pPr>
        <w:spacing w:after="0" w:line="360" w:lineRule="auto"/>
        <w:rPr>
          <w:rFonts w:ascii="Calibri" w:eastAsia="Calibri" w:hAnsi="Calibri" w:cs="Times New Roman"/>
          <w:bCs/>
        </w:rPr>
      </w:pPr>
      <w:r w:rsidRPr="001304BA">
        <w:rPr>
          <w:rFonts w:ascii="Calibri" w:eastAsia="Calibri" w:hAnsi="Calibri" w:cs="Times New Roman"/>
          <w:bCs/>
        </w:rPr>
        <w:t>E-MAIL: _____________________________________FONE/FAX: ________________________</w:t>
      </w:r>
    </w:p>
    <w:p w:rsidR="001304BA" w:rsidRPr="001304BA" w:rsidRDefault="001304BA" w:rsidP="001304BA">
      <w:pPr>
        <w:spacing w:after="0" w:line="360" w:lineRule="auto"/>
        <w:rPr>
          <w:rFonts w:ascii="Calibri" w:eastAsia="Calibri" w:hAnsi="Calibri" w:cs="Times New Roman"/>
        </w:rPr>
      </w:pPr>
      <w:r w:rsidRPr="001304BA">
        <w:rPr>
          <w:rFonts w:ascii="Calibri" w:eastAsia="Calibri" w:hAnsi="Calibri" w:cs="Times New Roman"/>
          <w:bCs/>
        </w:rPr>
        <w:t>ASSINATURA: __________________________________________________________________</w:t>
      </w:r>
    </w:p>
    <w:p w:rsidR="001304BA" w:rsidRDefault="001304BA" w:rsidP="001304BA">
      <w:pPr>
        <w:spacing w:after="0"/>
      </w:pPr>
    </w:p>
    <w:sectPr w:rsidR="001304BA"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304BA"/>
    <w:rsid w:val="001304BA"/>
    <w:rsid w:val="004C5F07"/>
    <w:rsid w:val="00533F31"/>
    <w:rsid w:val="00543F80"/>
    <w:rsid w:val="00604F20"/>
    <w:rsid w:val="007C39AD"/>
    <w:rsid w:val="008D74A9"/>
    <w:rsid w:val="00DA70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ombreamentoMdio1-nfase1">
    <w:name w:val="Medium Shading 1 Accent 1"/>
    <w:basedOn w:val="Tabelanormal"/>
    <w:uiPriority w:val="63"/>
    <w:rsid w:val="00604F2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60279959">
      <w:bodyDiv w:val="1"/>
      <w:marLeft w:val="0"/>
      <w:marRight w:val="0"/>
      <w:marTop w:val="0"/>
      <w:marBottom w:val="0"/>
      <w:divBdr>
        <w:top w:val="none" w:sz="0" w:space="0" w:color="auto"/>
        <w:left w:val="none" w:sz="0" w:space="0" w:color="auto"/>
        <w:bottom w:val="none" w:sz="0" w:space="0" w:color="auto"/>
        <w:right w:val="none" w:sz="0" w:space="0" w:color="auto"/>
      </w:divBdr>
    </w:div>
    <w:div w:id="17693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3206</Words>
  <Characters>17313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2</cp:revision>
  <dcterms:created xsi:type="dcterms:W3CDTF">2016-12-30T12:21:00Z</dcterms:created>
  <dcterms:modified xsi:type="dcterms:W3CDTF">2016-12-30T12:55:00Z</dcterms:modified>
</cp:coreProperties>
</file>